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Заключение договоров о передаче жилых помещений, приватизированных гражданами, в муниципальную собственность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i w:val="false"/>
                  <w:i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С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обственники жилых помещений жилищного фонда города Шадринска, переданных в порядке приватизации, обратившихся лично или в лице законных представителей (в том числе на основании соответствующей доверенности). Законными представителями заявителей могут являться граждане Российской Федерации, иностранные граждане и лица без гражданства.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40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>1)Заявление</w:t>
            </w:r>
          </w:p>
          <w:p>
            <w:pPr>
              <w:pStyle w:val="Normal"/>
              <w:suppressAutoHyphens w:val="false"/>
              <w:spacing w:lineRule="auto" w:line="276" w:before="58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>2)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</w:rPr>
              <w:t xml:space="preserve">Договор приватизации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(в случае  отсутствия оригинала представляется дубликат договора)</w:t>
            </w:r>
          </w:p>
          <w:p>
            <w:pPr>
              <w:pStyle w:val="Normal"/>
              <w:widowControl/>
              <w:suppressAutoHyphens w:val="false"/>
              <w:spacing w:lineRule="auto" w:line="276" w:before="57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3)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Документ об оплате коммунальных услуг и иных обязательных платежей</w:t>
            </w:r>
          </w:p>
          <w:p>
            <w:pPr>
              <w:pStyle w:val="Normal"/>
              <w:widowControl/>
              <w:suppressAutoHyphens w:val="false"/>
              <w:spacing w:lineRule="auto" w:line="276" w:before="57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4)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Справка о составе семьи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5)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Технический паспорт на жилое помещение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eastAsia="ru-RU"/>
              </w:rPr>
              <w:t xml:space="preserve">6)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lang w:eastAsia="ru-RU"/>
              </w:rPr>
              <w:t xml:space="preserve">Документы, подтверждающие изменение имен, отчеств, фамилий 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6"/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Заключение договора о передаче жилого помещения, приватизированного гражданами, в муниципальную собственность</w:t>
            </w:r>
          </w:p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2)</w:t>
            </w:r>
            <w:r>
              <w:rPr>
                <w:rFonts w:cs="Liberation Serif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Отказ в деприватизации жилого помещения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3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)Прекращение процедуры деприватизации жилого помещения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30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1"/>
                <w:szCs w:val="21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 06.02.2012 № 236 «Об утверждении Административного регламента по предоставлению муниципальной услуги по заключению договоров передачи жилых помещений, приватизированных гражданами, в муниципальную собственность»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LibreOffice/6.4.3.2$Windows_X86_64 LibreOffice_project/747b5d0ebf89f41c860ec2a39efd7cb15b54f2d8</Application>
  <Pages>2</Pages>
  <Words>205</Words>
  <Characters>1655</Characters>
  <CharactersWithSpaces>1834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2020-07-02T09:29:48Z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