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строительству и архитектуре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Textbody"/>
              <w:suppressAutoHyphens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Физические или юридические лица -правообладатели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застройки, расположенных на территории Шадринского района.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dst1622"/>
            <w:bookmarkStart w:id="3" w:name="dst258"/>
            <w:bookmarkEnd w:id="2"/>
            <w:bookmarkEnd w:id="3"/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а)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 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Заявление.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widowControl/>
              <w:suppressAutoHyphens w:val="false"/>
              <w:snapToGrid w:val="false"/>
              <w:spacing w:lineRule="auto" w:line="24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Постановление о разрешении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center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70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/>
                <w:color w:val="0000FF"/>
                <w:lang w:eastAsia="ru-RU"/>
              </w:rPr>
            </w:r>
          </w:p>
          <w:p>
            <w:pPr>
              <w:pStyle w:val="Style19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 14 марта 2017 г. N 393 «Об утверждении административного регламента по предоставлению муниципальной услуги "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 "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andard">
    <w:name w:val="Standard"/>
    <w:qFormat/>
    <w:pPr>
      <w:widowControl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LibreOffice/6.4.3.2$Windows_X86_64 LibreOffice_project/747b5d0ebf89f41c860ec2a39efd7cb15b54f2d8</Application>
  <Pages>2</Pages>
  <Words>168</Words>
  <Characters>1435</Characters>
  <CharactersWithSpaces>1582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2020-06-30T16:59:21Z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