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 xml:space="preserve"> </w:t>
            </w: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Шадринска, посадки (взлета) на расположенные в границах города Шадринска площадки, сведения о которых не опубликованы в документах аэронавигационной информации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3"/>
              <w:widowControl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Отдел по мобилизационной подготовке, взаимодействию с правоохранительными органами и связям с общественностью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 xml:space="preserve">Заявитель – пользователь воздушного пространства – физическое и юридическое лицо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dst1622"/>
            <w:bookmarkStart w:id="3" w:name="dst258"/>
            <w:bookmarkEnd w:id="2"/>
            <w:bookmarkEnd w:id="3"/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а) </w:t>
            </w: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Заявление;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sz w:val="21"/>
                <w:szCs w:val="21"/>
              </w:rPr>
              <w:t>б) 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Д</w:t>
            </w:r>
            <w:r>
              <w:rPr>
                <w:rFonts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окумент, подтверждающего право владения воздушным судном на законных основаниях</w:t>
            </w:r>
            <w:r>
              <w:rPr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1C1C1C"/>
                <w:spacing w:val="0"/>
                <w:sz w:val="21"/>
                <w:szCs w:val="21"/>
              </w:rPr>
              <w:t>.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6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1)</w:t>
            </w:r>
            <w:r>
              <w:rPr>
                <w:rFonts w:cs="Liberation Serif" w:ascii="Arial" w:hAnsi="Arial"/>
                <w:sz w:val="21"/>
                <w:szCs w:val="21"/>
              </w:rPr>
              <w:t xml:space="preserve"> решение о выдаче заявителю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Шадринска, посадки (взлета) на расположенные в границах города Шадринска площадки, сведения о которых не опубликованы в документах аэронавигационной информации (далее – решение о выдаче разрешения);</w:t>
            </w:r>
          </w:p>
          <w:p>
            <w:pPr>
              <w:pStyle w:val="Style19"/>
              <w:widowControl/>
              <w:tabs>
                <w:tab w:val="clear" w:pos="708"/>
                <w:tab w:val="left" w:pos="655" w:leader="none"/>
              </w:tabs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2)</w:t>
            </w:r>
            <w:r>
              <w:rPr>
                <w:rFonts w:eastAsia="Times New Roman" w:cs="Liberation Serif" w:ascii="Arial" w:hAnsi="Arial"/>
                <w:color w:val="000000"/>
                <w:sz w:val="21"/>
                <w:szCs w:val="21"/>
                <w:lang w:eastAsia="ru-RU"/>
              </w:rPr>
              <w:t xml:space="preserve"> решение об отказе в выдаче заявителю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Шадринска, посадки (взлета) на расположенные в границах города Шадринска площадки, сведения о которых не опубликованы в документах аэронавигационной информации</w:t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10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календарных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 xml:space="preserve">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21"/>
                <w:lang w:val="ru-RU" w:eastAsia="ru-RU"/>
              </w:rPr>
              <w:t>Услуга предоставляется бесплатно</w:t>
            </w:r>
            <w:r>
              <w:rPr>
                <w:rFonts w:eastAsia="Times New Roman" w:cs="Arial" w:ascii="Arial" w:hAnsi="Arial"/>
                <w:b w:val="false"/>
                <w:bCs w:val="false"/>
                <w:color w:val="auto"/>
                <w:sz w:val="21"/>
                <w:szCs w:val="21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Постановление </w:t>
            </w: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А</w:t>
            </w: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дминистрации города Шадринска от 15.05.2020г.  </w:t>
            </w: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 xml:space="preserve">№ 979 </w:t>
            </w:r>
            <w:r>
              <w:rPr>
                <w:rStyle w:val="FontStyle20"/>
                <w:rFonts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u w:val="none"/>
                <w:lang w:eastAsia="ru-RU"/>
              </w:rPr>
              <w:t>об утверждении Административного регламента «Выдача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города Шадринска, посадки (взлета) на расположенные в границах города Шадринска площадки, сведения о которых не опубликованы в документах аэронавигационной информации»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Основной шрифт абзаца"/>
    <w:qFormat/>
    <w:rPr/>
  </w:style>
  <w:style w:type="character" w:styleId="Style17">
    <w:name w:val="Посещённая гиперссылка"/>
    <w:basedOn w:val="Style16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pacing w:lineRule="exact" w:line="233"/>
      <w:jc w:val="center"/>
    </w:pPr>
    <w:rPr/>
  </w:style>
  <w:style w:type="paragraph" w:styleId="Style24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LibreOffice/6.4.3.2$Windows_X86_64 LibreOffice_project/747b5d0ebf89f41c860ec2a39efd7cb15b54f2d8</Application>
  <Pages>2</Pages>
  <Words>284</Words>
  <Characters>2252</Characters>
  <CharactersWithSpaces>2517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2020-06-30T15:49:25Z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