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E46511" w:rsidP="00E46511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Направление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случаях, указанных в пункте 5 части 19 статьи 55 Градостроительного кодекса Российской Федерации, в отношении территорий поселений, в</w:t>
            </w:r>
            <w:bookmarkStart w:id="0" w:name="_GoBack"/>
            <w:bookmarkEnd w:id="0"/>
            <w:r w:rsidRPr="00E46511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ходящих в состав </w:t>
            </w:r>
            <w:proofErr w:type="spellStart"/>
            <w:r w:rsidRPr="00E46511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E46511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46511">
        <w:trPr>
          <w:trHeight w:val="3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E46511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6511">
              <w:rPr>
                <w:rFonts w:ascii="Arial" w:hAnsi="Arial" w:cs="Arial"/>
                <w:sz w:val="21"/>
                <w:szCs w:val="21"/>
              </w:rPr>
              <w:t>Физические и юридические лица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E46511">
        <w:trPr>
          <w:trHeight w:val="160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Default="003C4D1E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Заявление</w:t>
            </w:r>
            <w:r w:rsidR="00E46511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E46511" w:rsidRPr="00E46511" w:rsidRDefault="00E46511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Уведомление об окончании строительства или реконструкции объекта индивидуального жилищного строительства или садового дома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E46511" w:rsidRPr="00E46511" w:rsidRDefault="00E46511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Технический план объекта индивидуального жилищного строительства или садового дома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3C4D1E" w:rsidRPr="00286087" w:rsidRDefault="00E46511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Заверенный перевод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, если заявителем является иностранное юридическое лицо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286087" w:rsidRDefault="003C4D1E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="00E46511" w:rsidRPr="00E46511">
              <w:rPr>
                <w:rFonts w:ascii="Arial" w:hAnsi="Arial" w:cs="Arial"/>
                <w:color w:val="000000"/>
                <w:sz w:val="21"/>
                <w:szCs w:val="21"/>
              </w:rPr>
              <w:t>Соглашение, заключенное между правообладателями земельного участка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</w:t>
            </w:r>
            <w:r w:rsid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(в </w:t>
            </w:r>
            <w:r w:rsidR="00E46511"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="00E46511" w:rsidRPr="00E46511">
              <w:rPr>
                <w:rFonts w:ascii="Arial" w:hAnsi="Arial" w:cs="Arial"/>
                <w:color w:val="000000"/>
                <w:sz w:val="21"/>
                <w:szCs w:val="21"/>
              </w:rPr>
              <w:t>со</w:t>
            </w:r>
            <w:proofErr w:type="gramEnd"/>
            <w:r w:rsidR="00E46511"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множественностью лиц на стороне арендатора</w:t>
            </w:r>
            <w:r w:rsidR="00E46511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</w:tr>
      <w:tr w:rsidR="003429DA" w:rsidRPr="00236378" w:rsidTr="00E46511">
        <w:trPr>
          <w:trHeight w:val="11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511" w:rsidRDefault="00E46511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1) Направление уведомления о соответствии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построенных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:rsidR="00E46511" w:rsidRPr="00E46511" w:rsidRDefault="00E46511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2) Направление уведомления о несоответствии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построенных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3429DA" w:rsidRPr="00286087" w:rsidRDefault="00E46511" w:rsidP="00E4651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3) Направление повторного экземпляра (дубликата) уведомления о соответствии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E46511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5611">
              <w:rPr>
                <w:rFonts w:ascii="Arial" w:hAnsi="Arial" w:cs="Arial"/>
                <w:sz w:val="21"/>
                <w:szCs w:val="21"/>
              </w:rPr>
              <w:t>рабочих</w:t>
            </w:r>
            <w:r w:rsidR="003429D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>дн</w:t>
            </w:r>
            <w:r>
              <w:rPr>
                <w:rFonts w:ascii="Arial" w:hAnsi="Arial" w:cs="Arial"/>
                <w:sz w:val="21"/>
                <w:szCs w:val="21"/>
              </w:rPr>
              <w:t>ей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со дня регистрации заявления в Администрации </w:t>
            </w:r>
            <w:proofErr w:type="spellStart"/>
            <w:r w:rsidR="003429DA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1C7F32">
        <w:trPr>
          <w:trHeight w:val="116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E46511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E46511">
              <w:rPr>
                <w:rFonts w:ascii="Arial" w:hAnsi="Arial" w:cs="Arial"/>
                <w:spacing w:val="-1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E46511">
              <w:rPr>
                <w:rFonts w:ascii="Arial" w:hAnsi="Arial" w:cs="Arial"/>
                <w:spacing w:val="-1"/>
                <w:sz w:val="21"/>
                <w:szCs w:val="21"/>
              </w:rPr>
              <w:t>Альменевского</w:t>
            </w:r>
            <w:proofErr w:type="spellEnd"/>
            <w:r w:rsidRPr="00E46511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от 26.09.2019 года № 307 «Об утверждении Административного регламента предоставления Администрацией </w:t>
            </w:r>
            <w:proofErr w:type="spellStart"/>
            <w:r w:rsidRPr="00E46511">
              <w:rPr>
                <w:rFonts w:ascii="Arial" w:hAnsi="Arial" w:cs="Arial"/>
                <w:spacing w:val="-1"/>
                <w:sz w:val="21"/>
                <w:szCs w:val="21"/>
              </w:rPr>
              <w:t>Альменевского</w:t>
            </w:r>
            <w:proofErr w:type="spellEnd"/>
            <w:r w:rsidRPr="00E46511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муниципальной услуги по направлению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C4D1E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64</cp:revision>
  <cp:lastPrinted>2018-08-08T10:10:00Z</cp:lastPrinted>
  <dcterms:created xsi:type="dcterms:W3CDTF">2018-11-16T04:57:00Z</dcterms:created>
  <dcterms:modified xsi:type="dcterms:W3CDTF">2020-06-29T04:08:00Z</dcterms:modified>
</cp:coreProperties>
</file>