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ArialMT" w:cs="Times New Roman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shd w:fill="FFFFFF" w:val="clear"/>
                <w:lang w:val="ru-RU" w:eastAsia="ru-RU"/>
              </w:rPr>
              <w:t>Предоставление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пользование, постоянное (бессрочное) пользование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highlight w:val="white"/>
              </w:rPr>
              <w:t>Муниципальная услуга предоставляется Администрацией Шадринского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lang w:val="ru-RU" w:eastAsia="ru-RU"/>
              </w:rPr>
              <w:t xml:space="preserve">Физические и юридические лица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highlight w:val="white"/>
                <w:lang w:eastAsia="ru-RU"/>
              </w:rPr>
              <w:t>Администрация Шадринского района</w:t>
            </w:r>
          </w:p>
        </w:tc>
      </w:tr>
      <w:tr>
        <w:trPr>
          <w:trHeight w:val="997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true"/>
              <w:spacing w:before="0" w:after="200"/>
              <w:jc w:val="both"/>
              <w:textAlignment w:val="baseline"/>
              <w:rPr>
                <w:rFonts w:ascii="Arial" w:hAnsi="Arial" w:eastAsia="Lucida Sans Unicode" w:cs="Arial"/>
                <w:color w:val="00000A"/>
                <w:kern w:val="2"/>
                <w:sz w:val="21"/>
                <w:szCs w:val="21"/>
                <w:lang w:val="ru-RU"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lang w:val="ru-RU" w:eastAsia="ru-RU"/>
              </w:rPr>
              <w:t xml:space="preserve">Физические лица и юридические лица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1) </w:t>
            </w:r>
            <w:hyperlink w:anchor="P581">
              <w:r>
                <w:rPr>
                  <w:rFonts w:cs="Liberation Serif" w:ascii="Arial" w:hAnsi="Arial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000000"/>
                  <w:spacing w:val="0"/>
                  <w:sz w:val="21"/>
                  <w:szCs w:val="21"/>
                  <w:highlight w:val="white"/>
                  <w:u w:val="none"/>
                  <w:effect w:val="none"/>
                  <w:lang w:val="ru-RU"/>
                </w:rPr>
                <w:t>заявление</w:t>
              </w:r>
            </w:hyperlink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 </w:t>
            </w:r>
          </w:p>
          <w:p>
            <w:pPr>
              <w:pStyle w:val="Style18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2) 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Выписка из единого государственного реестра юридических лиц (ЕГРЮЛ) (примечание: для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 юридических лиц)</w:t>
            </w:r>
          </w:p>
          <w:p>
            <w:pPr>
              <w:pStyle w:val="Style18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3) 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1C1C1C"/>
                <w:spacing w:val="0"/>
                <w:sz w:val="21"/>
                <w:szCs w:val="21"/>
                <w:highlight w:val="white"/>
                <w:u w:val="none"/>
                <w:lang w:val="ru-RU"/>
              </w:rPr>
              <w:t>Списки членов, подготовленные некоммерческой организацией</w:t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1"/>
              <w:suppressAutoHyphens w:val="false"/>
              <w:overflowPunct w:val="false"/>
              <w:spacing w:lineRule="auto" w:line="240" w:before="0" w:after="20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1) </w:t>
            </w: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Договор о комплексном освоении территории</w:t>
            </w:r>
          </w:p>
          <w:p>
            <w:pPr>
              <w:pStyle w:val="1"/>
              <w:suppressAutoHyphens w:val="false"/>
              <w:overflowPunct w:val="false"/>
              <w:spacing w:lineRule="auto" w:line="240" w:before="0" w:after="20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2) </w:t>
            </w: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Выписка ЕГРН (об испрашиваемом земельном участке)</w:t>
            </w:r>
          </w:p>
          <w:p>
            <w:pPr>
              <w:pStyle w:val="1"/>
              <w:suppressAutoHyphens w:val="false"/>
              <w:overflowPunct w:val="false"/>
              <w:spacing w:lineRule="auto" w:line="240" w:before="0" w:after="20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3) </w:t>
            </w: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Выписка из ЕГРН об объекте недвижимости (о здании и (или) сооружении, расположенном(ых) на испрашиваемом земельном участке)</w:t>
            </w:r>
          </w:p>
          <w:p>
            <w:pPr>
              <w:pStyle w:val="ConsPlusNormal"/>
              <w:suppressAutoHyphens w:val="false"/>
              <w:overflowPunct w:val="false"/>
              <w:spacing w:lineRule="auto" w:line="240" w:before="0" w:after="200"/>
              <w:ind w:left="0" w:right="0" w:hanging="0"/>
              <w:jc w:val="left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4) </w:t>
            </w: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  <w:p>
            <w:pPr>
              <w:pStyle w:val="1"/>
              <w:suppressAutoHyphens w:val="false"/>
              <w:overflowPunct w:val="false"/>
              <w:spacing w:lineRule="auto" w:line="240" w:before="0" w:after="20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5) </w:t>
            </w: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Утвержденный проект планировки и утвержденный проект межевания территории</w:t>
            </w:r>
          </w:p>
          <w:p>
            <w:pPr>
              <w:pStyle w:val="1"/>
              <w:suppressAutoHyphens w:val="false"/>
              <w:overflowPunct w:val="false"/>
              <w:spacing w:lineRule="auto" w:line="240" w:before="0" w:after="20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6) </w:t>
            </w: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  <w:p>
            <w:pPr>
              <w:pStyle w:val="1"/>
              <w:suppressAutoHyphens w:val="false"/>
              <w:overflowPunct w:val="false"/>
              <w:spacing w:lineRule="auto" w:line="240" w:before="0" w:after="20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7) </w:t>
            </w: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>
            <w:pPr>
              <w:pStyle w:val="ConsPlusNormal"/>
              <w:suppressAutoHyphens w:val="false"/>
              <w:overflowPunct w:val="false"/>
              <w:spacing w:lineRule="auto" w:line="240" w:before="0" w:after="200"/>
              <w:ind w:left="0" w:right="0" w:hanging="0"/>
              <w:jc w:val="left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Ин</w:t>
            </w: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ые</w:t>
            </w: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 документ</w:t>
            </w:r>
            <w:r>
              <w:rPr>
                <w:rStyle w:val="Style16"/>
                <w:rFonts w:cs="Times New Roman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ы</w:t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andard"/>
              <w:rPr>
                <w:rFonts w:ascii="Arial" w:hAnsi="Arial" w:cs="Liberation Serif"/>
                <w:sz w:val="21"/>
                <w:szCs w:val="21"/>
              </w:rPr>
            </w:pPr>
            <w:r>
              <w:rPr>
                <w:rFonts w:cs="Liberation Serif" w:ascii="Arial" w:hAnsi="Arial"/>
                <w:sz w:val="21"/>
                <w:szCs w:val="21"/>
              </w:rPr>
              <w:t>1) Принятие решения о предоставлении земельного участка в собственность за плату, в аренду или в безвозмездное пользование;</w:t>
            </w:r>
          </w:p>
          <w:p>
            <w:pPr>
              <w:pStyle w:val="Standard"/>
              <w:rPr>
                <w:rFonts w:ascii="Arial" w:hAnsi="Arial" w:cs="Liberation Serif"/>
                <w:sz w:val="21"/>
                <w:szCs w:val="21"/>
              </w:rPr>
            </w:pPr>
            <w:r>
              <w:rPr>
                <w:rFonts w:cs="Liberation Serif" w:ascii="Arial" w:hAnsi="Arial"/>
                <w:sz w:val="21"/>
                <w:szCs w:val="21"/>
              </w:rPr>
              <w:t>2) Принятие решения о предоставлении земельного участка в собственность бесплатно или в постоянное (бессрочное) пользование</w:t>
            </w:r>
          </w:p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Style w:val="FontStyle23"/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 xml:space="preserve">3) </w:t>
            </w:r>
            <w:r>
              <w:rPr>
                <w:rStyle w:val="FontStyle23"/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>Принятие решения об отказе в предоставлении земельного участка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rPr>
                <w:rStyle w:val="FontStyle23"/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FontStyle23"/>
                <w:rFonts w:cs="Arial" w:ascii="Arial" w:hAnsi="Arial"/>
                <w:b w:val="false"/>
                <w:bCs w:val="false"/>
                <w:sz w:val="21"/>
                <w:szCs w:val="21"/>
                <w:lang w:val="ru-RU"/>
              </w:rPr>
              <w:t>-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21"/>
                <w:szCs w:val="21"/>
                <w:lang w:val="ru-RU"/>
              </w:rPr>
              <w:t xml:space="preserve">30 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21"/>
                <w:szCs w:val="21"/>
                <w:lang w:val="ru-RU"/>
              </w:rPr>
              <w:t xml:space="preserve">календарных 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21"/>
                <w:szCs w:val="21"/>
                <w:lang w:val="ru-RU"/>
              </w:rPr>
              <w:t>дней со дня поступления заявления о предоставлении земельного участка;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Style w:val="FontStyle23"/>
                <w:rFonts w:cs="Arial" w:ascii="Arial" w:hAnsi="Arial"/>
                <w:b w:val="false"/>
                <w:bCs w:val="false"/>
                <w:sz w:val="21"/>
                <w:szCs w:val="21"/>
                <w:lang w:val="ru-RU"/>
              </w:rPr>
              <w:t>-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21"/>
                <w:szCs w:val="21"/>
                <w:lang w:val="ru-RU"/>
              </w:rPr>
              <w:t>90 календарных дней со дня поступления заявления о предоставлении земельного участка - в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предоставлении земельного участка для осуществления крестьянским (фермерским) хозяйством его деятельности;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rStyle w:val="FontStyle23"/>
                <w:rFonts w:eastAsia="Lucida Sans Unicode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position w:val="-1"/>
                <w:sz w:val="21"/>
                <w:szCs w:val="21"/>
                <w:lang w:val="ru-RU" w:eastAsia="ru-RU"/>
              </w:rPr>
              <w:t>-</w:t>
            </w:r>
            <w:r>
              <w:rPr>
                <w:rStyle w:val="FontStyle23"/>
                <w:rFonts w:eastAsia="Lucida Sans Unicode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position w:val="-1"/>
                <w:sz w:val="21"/>
                <w:szCs w:val="21"/>
                <w:lang w:val="ru-RU" w:eastAsia="ru-RU"/>
              </w:rPr>
              <w:t>67 календарных дней при отказе в предоставлении земельного участка 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/>
              <w:tabs>
                <w:tab w:val="clear" w:pos="708"/>
                <w:tab w:val="left" w:pos="2736" w:leader="none"/>
                <w:tab w:val="left" w:pos="3845" w:leader="none"/>
              </w:tabs>
              <w:suppressAutoHyphens w:val="false"/>
              <w:spacing w:before="0" w:after="200"/>
              <w:jc w:val="both"/>
              <w:rPr>
                <w:rFonts w:ascii="Arial" w:hAnsi="Arial" w:cs="Liberation Serif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position w:val="-2"/>
                <w:sz w:val="21"/>
                <w:szCs w:val="21"/>
                <w:lang w:val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Title"/>
              <w:widowControl/>
              <w:shd w:val="clear" w:fill="FFFFFF"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highlight w:val="white"/>
                <w:u w:val="none"/>
                <w:lang w:val="ru-RU" w:eastAsia="ru-RU"/>
              </w:rPr>
              <w:t xml:space="preserve">Постановление Администрации Шадринского района от 04.04.2017 г. № 239 </w:t>
            </w:r>
            <w:r>
              <w:rPr>
                <w:rStyle w:val="FontStyle20"/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u w:val="none"/>
                <w:lang w:val="ru-RU" w:eastAsia="ru-RU"/>
              </w:rPr>
              <w:t>«</w:t>
            </w:r>
            <w:r>
              <w:rPr>
                <w:rStyle w:val="FontStyle20"/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highlight w:val="white"/>
                <w:u w:val="none"/>
                <w:lang w:val="ru-RU" w:eastAsia="ru-RU"/>
              </w:rPr>
              <w:t>Об утверждении Административного регламента предоставления муниципальной услуги по предоставлению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пользование, постоянное (бессрочное) пользование»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7"/>
    <w:qFormat/>
    <w:pPr/>
    <w:rPr/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3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Style16">
    <w:name w:val="Основной шрифт абзаца"/>
    <w:qFormat/>
    <w:rPr/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2">
    <w:name w:val="Style2"/>
    <w:basedOn w:val="Normal"/>
    <w:qFormat/>
    <w:pPr>
      <w:suppressAutoHyphens w:val="false"/>
      <w:spacing w:lineRule="exact" w:line="233"/>
      <w:jc w:val="center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121">
    <w:name w:val="Style12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b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LibreOffice/6.4.3.2$Windows_X86_64 LibreOffice_project/747b5d0ebf89f41c860ec2a39efd7cb15b54f2d8</Application>
  <Pages>2</Pages>
  <Words>367</Words>
  <Characters>2818</Characters>
  <CharactersWithSpaces>3150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2020-06-19T18:28:46Z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