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Times New Roman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shd w:fill="FFFFFF" w:val="clear"/>
                <w:lang w:val="ru-RU"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highlight w:val="white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>Физические лица, юридические лица (собственник соответствующего помещения или уполномоченное им лицо)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white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highlight w:val="white"/>
                <w:lang w:val="ru-RU" w:eastAsia="ru-RU"/>
              </w:rPr>
              <w:t xml:space="preserve">Физические лица 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1) 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Заявление о переводе помещения </w:t>
            </w:r>
          </w:p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2) Д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окументы, подтверждающих полномочия руководителя юридического лица</w:t>
            </w:r>
          </w:p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3)  Протокол общего собрания собственников помещений в многоквартирном доме</w:t>
            </w:r>
          </w:p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4) Решение об использовании общего имущества </w:t>
            </w:r>
          </w:p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5) Проект переустройства и (или) перепланировки переустраиваемого и (или) переводимого помещения. </w:t>
            </w:r>
          </w:p>
          <w:p>
            <w:pPr>
              <w:pStyle w:val="Style19"/>
              <w:spacing w:lineRule="auto" w:line="240" w:before="0" w:after="20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1)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>Правоустанавливающие документы на переводимое помещение (подлинники или засвидетельствованные в нотариальном порядке копии) - в случае, если право на помещение зарегистрировано в Едином государственном реестре недвижимости</w:t>
            </w:r>
          </w:p>
          <w:p>
            <w:pPr>
              <w:pStyle w:val="Style19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2)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План переводимого помещения с его техническим описанием (в случае, если переводимое помещение является жилым, технический паспорт такого помещения) </w:t>
            </w:r>
          </w:p>
          <w:p>
            <w:pPr>
              <w:pStyle w:val="Style19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3)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>Поэтажный план дома, в котором находится переводимое помещение</w:t>
            </w:r>
          </w:p>
          <w:p>
            <w:pPr>
              <w:pStyle w:val="Style19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>Технический паспорт</w:t>
            </w:r>
          </w:p>
          <w:p>
            <w:pPr>
              <w:pStyle w:val="Style19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4)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>План переводимого помещения</w:t>
            </w:r>
          </w:p>
          <w:p>
            <w:pPr>
              <w:pStyle w:val="Style19"/>
              <w:suppressAutoHyphens w:val="false"/>
              <w:overflowPunct w:val="true"/>
              <w:spacing w:lineRule="auto" w:line="240" w:before="0" w:after="20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 xml:space="preserve">5) </w:t>
            </w:r>
            <w:r>
              <w:rPr>
                <w:rStyle w:val="Style17"/>
                <w:rFonts w:cs="Times New Roman" w:ascii="Arial" w:hAnsi="Arial"/>
                <w:color w:val="000000"/>
                <w:sz w:val="21"/>
                <w:szCs w:val="21"/>
                <w:highlight w:val="white"/>
              </w:rPr>
              <w:t>Поэтажный план здания</w:t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FontStyle23"/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 xml:space="preserve">-выдача уведомления о переводе жилого помещения в нежилое помещение; </w:t>
            </w:r>
          </w:p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FontStyle23"/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-выдача уведомления о переводе нежилого помещения в жилое помещение;</w:t>
            </w:r>
          </w:p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FontStyle23"/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-письменный отказе в переводе помещения.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lang w:val="ru-RU"/>
              </w:rPr>
            </w:pP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position w:val="-2"/>
                <w:sz w:val="21"/>
                <w:szCs w:val="21"/>
                <w:lang w:val="ru-RU" w:eastAsia="ru-RU"/>
              </w:rPr>
              <w:t>45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rFonts w:ascii="Arial" w:hAnsi="Arial" w:cs="Liberation Serif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1"/>
                <w:szCs w:val="21"/>
                <w:lang w:val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shd w:val="clear" w:fill="FFFFFF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kern w:val="2"/>
                <w:sz w:val="21"/>
                <w:szCs w:val="21"/>
                <w:highlight w:val="white"/>
                <w:u w:val="none"/>
                <w:lang w:val="ru-RU" w:eastAsia="ru-RU"/>
              </w:rPr>
              <w:t>Постановление Администрации Шадринского района от 20.12.2019 г. №812 «Об утверждении Административного регламента предоставления Администрацией Шадринского района муниципальной услуги «Перевод жилого помещения в нежилое помещение или нежилое помещение в жилое помещение»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8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Style17">
    <w:name w:val="Основной шрифт абзаца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LibreOffice/6.4.3.2$Windows_X86_64 LibreOffice_project/747b5d0ebf89f41c860ec2a39efd7cb15b54f2d8</Application>
  <Pages>2</Pages>
  <Words>250</Words>
  <Characters>1906</Characters>
  <CharactersWithSpaces>2128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2020-06-19T17:03:11Z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