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left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Textbody"/>
              <w:suppressAutoHyphens w:val="false"/>
              <w:bidi w:val="0"/>
              <w:spacing w:lineRule="auto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Физические или юридические лица, являющиеся нанимателями, либо арендаторами, либо собственниками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Физические лица и ю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1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) заявление 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о переустройстве и (или) перепланировке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2)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согласие всех членов семьи заявителя, являющегося нанимателем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примечание Если заявитель является собственником жилья, а члены семьи не являются собственниками, их согласие  не требуется)</w:t>
            </w:r>
          </w:p>
          <w:p>
            <w:pPr>
              <w:pStyle w:val="Style19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) 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документ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ы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подтверждающих право на жилое помещение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Style w:val="Style17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</w:rPr>
              <w:t>Решение о согласовании переустройства и (или) перепланировки жилого (нежилого) помещения в многоквартирном доме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;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2)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Решение об отказе согласования переустройства и (или) перепланировки жилого (нежилого) помещения в многоквартирном доме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 xml:space="preserve">. 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 xml:space="preserve">45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 xml:space="preserve">календарных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>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 xml:space="preserve">Постановление Администрации Шадринского района от 04.12.2019 г. № 751 </w:t>
            </w:r>
            <w:r>
              <w:rPr>
                <w:rStyle w:val="FontStyle20"/>
                <w:rFonts w:cs="Liberation Serif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«</w:t>
            </w:r>
            <w:r>
              <w:rPr>
                <w:rStyle w:val="FontStyle20"/>
                <w:rFonts w:cs="Liberation Serif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Об утверждении Административного регламента предоставления Администрацией Шадринского района муниципальной услуги «Согласование переустройства и (или) перепланировки помещения в многоквартирном доме»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LibreOffice/6.4.3.2$Windows_X86_64 LibreOffice_project/747b5d0ebf89f41c860ec2a39efd7cb15b54f2d8</Application>
  <Pages>2</Pages>
  <Words>234</Words>
  <Characters>1811</Characters>
  <CharactersWithSpaces>2023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2020-06-19T16:20:08Z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