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sz w:val="40"/>
                <w:szCs w:val="40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40"/>
                <w:szCs w:val="40"/>
                <w:shd w:fill="FFFFFF" w:val="clear"/>
                <w:lang w:val="ru-RU" w:eastAsia="ru-RU"/>
              </w:rPr>
              <w:t>Предоставление разрешения на осуществление земляных работ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Администрация Шадринского муниципального округа Курганской области</w:t>
            </w:r>
            <w:bookmarkStart w:id="0" w:name="_GoBack"/>
            <w:bookmarkEnd w:id="0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Заявителями на получение муниципальной услуги являются физические лица, индивидуальные предприниматели и юридические лица, их представители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Управление ЖКХ и строительства Администрации Шадринского муниципального округа Курганской области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Autospacing="1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Заявителями на получение муниципальной услуги являются физические лица, индивидуальные предприниматели и юридические лица, их представители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Перечень документов, обязательных для предоставления заявителем независимо от категории и основания для обращения за предоставлением муниципальной услуги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1) Заявление;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2) Д</w:t>
            </w:r>
            <w:r>
              <w:rPr>
                <w:rFonts w:cs="Arial"/>
                <w:b w:val="false"/>
                <w:bCs w:val="false"/>
                <w:color w:val="000000"/>
                <w:sz w:val="28"/>
                <w:szCs w:val="28"/>
              </w:rPr>
              <w:t>окумент, удостоверяющий личность заявителя или представителя заявителя;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8"/>
                <w:szCs w:val="28"/>
              </w:rPr>
              <w:t>3) Документ, подтверждающий полномочия представителя заявителя действовать от имени заявителя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4) Гарантийное письмо по восстановлению покрытия;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5) 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6) Договор на проведение работ, в случае если работы будут проводиться подрядной организацией.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При обращением за получением разрешения на производство земляных работ, заявитель дополнительно представляет: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1) Проект производства работ;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 xml:space="preserve">2) </w:t>
            </w: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Календарный график производства работ;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3) 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(при подключении к сетям инженерно-технического обеспечения);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4) Правоустанавливающие документы на объект недвижимости (права на который не зарегистрированы в Едином государственном реестре недвижимости).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При обращением за получением разрешения на производство земляных работ в связи с аварийно-восстановительными работами, заявитель дополнительно представляет: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1) Схема участка работ (выкопировка из исполнительной документации на подземные коммуникации и сооружения);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2) 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работах.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При обращении за продлением разрешения на право производства земляных работ</w:t>
            </w: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, заявитель дополнительно представляет: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1) Проект производства работ;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Arial" w:cs="Arial"/>
                <w:b w:val="false"/>
                <w:color w:val="1C1C1C"/>
                <w:sz w:val="28"/>
                <w:szCs w:val="28"/>
                <w:shd w:fill="auto" w:val="clear"/>
              </w:rPr>
              <w:t>2) Календарный график производства работ.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а) выписку из ЕГРИП (запрашивается для подтверждения регистрации индивидуального предпринимателя на территории Российской Федерации);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б) выписку из ЕГРЮЛ (в случае обращения юридического лица)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в) выписку из ЕГРН об основных характеристиках и зарегистрированных правах на объект недвижимости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г) уведомление о планируемом сносе;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д) разрешение на строительство,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е) разрешение на проведение работ по сохранению объектов культурного наследия;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ж) разрешение на вырубку зеленых насаждений,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з) разрешение на использование земель или земельного участка, находящихся в государственной или муниципальной собственности,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и) разрешение на размещение объекта,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к)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л) разрешение на установку и эксплуатацию рекламной конструкции;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м) технические условия для подключения к сетям инженерно- технического обеспечения;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н) схему движения транспорта и пешеходов;</w:t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widowControl w:val="false"/>
              <w:ind w:left="0" w:right="0" w:hanging="0"/>
              <w:jc w:val="both"/>
              <w:rPr>
                <w:rFonts w:ascii="Arial" w:hAnsi="Arial"/>
                <w:sz w:val="28"/>
                <w:szCs w:val="28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- разрешение на право производства земляных работ;</w:t>
            </w:r>
          </w:p>
          <w:p>
            <w:pPr>
              <w:pStyle w:val="Style19"/>
              <w:widowControl w:val="false"/>
              <w:ind w:left="0" w:right="0" w:hanging="0"/>
              <w:jc w:val="both"/>
              <w:rPr>
                <w:rFonts w:ascii="Arial" w:hAnsi="Arial"/>
                <w:sz w:val="28"/>
                <w:szCs w:val="28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- решение о закрытии разрешения на осуществление земляных работ;</w:t>
            </w:r>
          </w:p>
          <w:p>
            <w:pPr>
              <w:pStyle w:val="Style19"/>
              <w:widowControl w:val="false"/>
              <w:spacing w:before="0" w:after="140"/>
              <w:ind w:left="0" w:right="0" w:hanging="0"/>
              <w:jc w:val="both"/>
              <w:rPr>
                <w:rFonts w:ascii="Arial" w:hAnsi="Arial"/>
                <w:sz w:val="28"/>
                <w:szCs w:val="28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- решение об отказе в предоставлении услуги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1) Получение разрешения на производство земляных работ, закрытие разрешения на право производства земляных работ - 10 рабочих дней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2) Получения разрешения на производство земляных работ в связи с аварийно-восстановительными работами - 3 рабочих дня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3) Продление разрешения на право производства земляных работ - 5 рабочих дней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52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shd w:fill="auto" w:val="clear"/>
                <w:lang w:val="ru-RU" w:eastAsia="ru-RU"/>
              </w:rPr>
              <w:t>Муниципальная услуга предоставляется бесплатно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20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возврата невостребованных документов - 30 календарных дней.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Autospacing="1" w:after="0"/>
              <w:ind w:left="0" w:right="0" w:hanging="0"/>
              <w:jc w:val="both"/>
              <w:rPr/>
            </w:pPr>
            <w:r>
              <w:rPr>
                <w:rStyle w:val="FontStyle23"/>
                <w:rFonts w:cs="Arial" w:ascii="Arial" w:hAnsi="Arial"/>
                <w:sz w:val="28"/>
                <w:szCs w:val="28"/>
                <w:lang w:val="ru-RU" w:eastAsia="ru-RU" w:bidi="ar-SA"/>
              </w:rPr>
              <w:t>Постановление Администрации Шадринского муниципального округа Курганской области от 23 января 2023 года № 59 Об утверждении Административного регламента по предоставлению муниципальной услуги «Предоставление разрешения на осуществление земляных работ»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6">
    <w:name w:val="Основной шрифт абзаца"/>
    <w:qFormat/>
    <w:rPr/>
  </w:style>
  <w:style w:type="character" w:styleId="Style17">
    <w:name w:val="Посещённая гиперссылка"/>
    <w:basedOn w:val="Style16"/>
    <w:rPr>
      <w:color w:val="800080"/>
      <w:u w:val="single"/>
    </w:rPr>
  </w:style>
  <w:style w:type="character" w:styleId="ConsPlusNormal">
    <w:name w:val="ConsPlusNormal Знак"/>
    <w:qFormat/>
    <w:rPr>
      <w:rFonts w:ascii="Times New Roman" w:hAnsi="Times New Roman"/>
      <w:sz w:val="24"/>
    </w:rPr>
  </w:style>
  <w:style w:type="character" w:styleId="FontStyle23">
    <w:name w:val="Font Style23"/>
    <w:qFormat/>
    <w:rPr>
      <w:rFonts w:ascii="Times New Roman" w:hAnsi="Times New Roman"/>
      <w:sz w:val="1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3">
    <w:name w:val="Style2"/>
    <w:basedOn w:val="Normal"/>
    <w:qFormat/>
    <w:pPr>
      <w:spacing w:lineRule="exact" w:line="233"/>
      <w:jc w:val="center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Calibri" w:asciiTheme="minorHAnsi" w:hAnsiTheme="minorHAnsi"/>
      <w:color w:val="auto"/>
      <w:kern w:val="0"/>
      <w:sz w:val="20"/>
      <w:szCs w:val="20"/>
      <w:lang w:val="ru-RU" w:eastAsia="ru-RU"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0"/>
      <w:color w:val="000000"/>
      <w:kern w:val="0"/>
      <w:sz w:val="24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Application>LibreOffice/7.3.7.2$Windows_X86_64 LibreOffice_project/e114eadc50a9ff8d8c8a0567d6da8f454beeb84f</Application>
  <AppVersion>15.0000</AppVersion>
  <Pages>4</Pages>
  <Words>546</Words>
  <Characters>4166</Characters>
  <CharactersWithSpaces>4654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dc:description/>
  <dc:language>ru-RU</dc:language>
  <cp:lastModifiedBy/>
  <dcterms:modified xsi:type="dcterms:W3CDTF">2024-11-02T08:46:59Z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