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shd w:fill="FFFFFF" w:val="clear"/>
                <w:lang w:val="ru-RU" w:eastAsia="ru-RU"/>
              </w:rPr>
              <w:t>Выдача разрешения (ордера) на производство земляных работ на территории Шадринского района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5"/>
              <w:spacing w:before="0" w:after="200"/>
              <w:jc w:val="left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5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лица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Заявление на производство земляных и аварийных работ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Выдача разрешения (ордера) на производство земляных работ на территории Шадринского района.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1) Проект производства работ, согласованный с заинтересованными службами района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2) Доверенность, от заявителя оформленная в установленном порядке представителю подрядной организации, являющемуся ответственным за производство работ – при выдаче разрешения представителю подрядной организации, являющемуся ответственным за производство работ 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3) Чертежи проектной документации или схемы Согласованную и утвержденную в установленном порядке проектную документацию (при производстве земляных работ связанных со строительством, реконструкцией объектов)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4) Копии согласований, выданных владельцами подземных инженерных сетей и землепользователей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Style w:val="Style18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  <w:p>
            <w:pPr>
              <w:pStyle w:val="Style20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/>
              </w:rPr>
              <w:t>Продление срока действия разрешения на производство земляных работ.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1) Разрешения на производство земляных и аварийных работ 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2) График производства работ 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3) Ранее выданное разрешение</w:t>
            </w:r>
          </w:p>
          <w:p>
            <w:pPr>
              <w:pStyle w:val="Normal"/>
              <w:suppressAutoHyphens w:val="false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4) Схема участка работ с указанием выполненных и незавершенных работ</w:t>
            </w:r>
          </w:p>
          <w:p>
            <w:pPr>
              <w:pStyle w:val="Style25"/>
              <w:suppressAutoHyphens w:val="false"/>
              <w:overflowPunct w:val="false"/>
              <w:spacing w:lineRule="auto" w:line="240" w:before="0" w:after="29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5) Акт о результатах гидравлических испытаний </w:t>
            </w:r>
          </w:p>
          <w:p>
            <w:pPr>
              <w:pStyle w:val="Normal"/>
              <w:spacing w:lineRule="auto" w:line="240" w:before="0" w:after="29"/>
              <w:rPr>
                <w:rFonts w:ascii="Arial" w:hAnsi="Arial" w:cs="Liberation Serif"/>
                <w:sz w:val="24"/>
                <w:szCs w:val="24"/>
              </w:rPr>
            </w:pPr>
            <w:r>
              <w:rPr>
                <w:rFonts w:cs="Liberation Serif" w:ascii="Arial" w:hAnsi="Arial"/>
                <w:sz w:val="21"/>
                <w:szCs w:val="21"/>
              </w:rPr>
              <w:t xml:space="preserve">6) Документ о повторном </w:t>
            </w: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согласовании</w:t>
            </w:r>
          </w:p>
          <w:p>
            <w:pPr>
              <w:pStyle w:val="Style25"/>
              <w:suppressAutoHyphens w:val="false"/>
              <w:overflowPunct w:val="false"/>
              <w:spacing w:lineRule="auto" w:line="240" w:before="0" w:after="29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eastAsia="Arial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7) Иной документ, обосновывающий продление 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Подуслуга 1: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 </w:t>
            </w:r>
            <w:r>
              <w:rPr>
                <w:rFonts w:cs="Liberation Serif" w:ascii="Arial" w:hAnsi="Arial"/>
                <w:sz w:val="21"/>
                <w:szCs w:val="21"/>
              </w:rPr>
              <w:t>Выдача разрешения (ордера) на производство земляных работ на территории Шадринского района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; 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bookmarkStart w:id="2" w:name="One41211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Отказ в выдаче разрешения (ордера) на производство земляных работ на территории Шадринского района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;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Подуслуга 2: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>-</w:t>
            </w:r>
            <w:r>
              <w:rPr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>Продление срока действия разрешения на производство земляных работ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>;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eastAsia="ru-RU"/>
              </w:rPr>
              <w:t>-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eastAsia="ru-RU"/>
              </w:rPr>
              <w:t xml:space="preserve">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eastAsia="ru-RU"/>
              </w:rPr>
              <w:t>Отказ в продлении срока действия разрешения на производство земляных работ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eastAsia="ru-RU"/>
              </w:rPr>
              <w:t>.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eastAsia="ru-RU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Подуслуга 1  "Выдача разрешения (ордера) на производство земляных работ на территории Шадринского района": 20 календарных дней;</w:t>
            </w:r>
          </w:p>
          <w:p>
            <w:pPr>
              <w:pStyle w:val="Normal"/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Подуслуга 2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position w:val="-2"/>
                <w:sz w:val="21"/>
                <w:szCs w:val="21"/>
                <w:highlight w:val="white"/>
                <w:lang w:val="ru-RU" w:eastAsia="ru-RU"/>
              </w:rPr>
              <w:t>"Продление срока действия разрешения на производство земляных работ"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: 20 календарных дней.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Постановление Администрации Шадринского района от 06.09.2017 г. № 643 «Об утверждении Административного регламента по предоставлению муниципальной услуги «Выдача разрешения (ордера) на производство земляных работ на территории Шадринского района»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4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LibreOffice/6.4.3.2$Windows_X86_64 LibreOffice_project/747b5d0ebf89f41c860ec2a39efd7cb15b54f2d8</Application>
  <Pages>2</Pages>
  <Words>324</Words>
  <Characters>2442</Characters>
  <CharactersWithSpaces>2733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2020-06-19T11:57:02Z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