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2774"/>
        <w:gridCol w:w="12588"/>
      </w:tblGrid>
      <w:tr>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Ответственный орган</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sz w:val="20"/>
                <w:szCs w:val="20"/>
              </w:rPr>
            </w:pPr>
            <w:r>
              <w:rPr>
                <w:rFonts w:cs="Arial" w:ascii="Arial" w:hAnsi="Arial"/>
                <w:sz w:val="20"/>
                <w:szCs w:val="20"/>
              </w:rPr>
              <w:t>Главное управление социальной защиты населения</w:t>
            </w:r>
          </w:p>
        </w:tc>
      </w:tr>
      <w:tr>
        <w:trPr>
          <w:trHeight w:val="595"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Получатели услуги</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firstLine="540"/>
              <w:jc w:val="both"/>
              <w:rPr/>
            </w:pPr>
            <w:r>
              <w:rPr>
                <w:rFonts w:cs="PT Astra Serif;Times New Roman" w:ascii="Arial" w:hAnsi="Arial"/>
                <w:sz w:val="20"/>
                <w:szCs w:val="20"/>
                <w:lang w:eastAsia="ar-SA"/>
              </w:rPr>
              <w:t xml:space="preserve">Право на ежемесячную денежную выплаты имеет </w:t>
            </w:r>
            <w:r>
              <w:rPr>
                <w:rStyle w:val="Style18"/>
                <w:rFonts w:eastAsia="Calibri" w:cs="Arial" w:ascii="Arial" w:hAnsi="Arial"/>
                <w:b w:val="false"/>
                <w:bCs w:val="false"/>
                <w:i w:val="false"/>
                <w:strike w:val="false"/>
                <w:dstrike w:val="false"/>
                <w:spacing w:val="-2"/>
                <w:position w:val="0"/>
                <w:sz w:val="20"/>
                <w:sz w:val="20"/>
                <w:szCs w:val="20"/>
                <w:highlight w:val="white"/>
                <w:u w:val="none"/>
                <w:vertAlign w:val="baseline"/>
                <w:lang w:eastAsia="ar-SA"/>
              </w:rPr>
              <w:t xml:space="preserve">один из родителей или иной законный представитель ребенка, являющийся гражданином Российской Федерации и проживающий на территории Российской Федерации, если размер среднедушевого дохода семьи не превышает </w:t>
            </w:r>
            <w:r>
              <w:rPr>
                <w:rStyle w:val="Style18"/>
                <w:rFonts w:eastAsia="Calibri" w:cs="Arial" w:ascii="Arial" w:hAnsi="Arial"/>
                <w:b w:val="false"/>
                <w:bCs w:val="false"/>
                <w:i w:val="false"/>
                <w:strike w:val="false"/>
                <w:dstrike w:val="false"/>
                <w:color w:val="000000"/>
                <w:spacing w:val="-2"/>
                <w:position w:val="0"/>
                <w:sz w:val="20"/>
                <w:sz w:val="20"/>
                <w:szCs w:val="20"/>
                <w:highlight w:val="white"/>
                <w:u w:val="none"/>
                <w:vertAlign w:val="baseline"/>
                <w:lang w:eastAsia="ar-SA"/>
              </w:rPr>
              <w:t>величину прожиточного минимума на душу населения, установленную в Курганской области за второй квартал года, предшествующего году обращения за назначением ежемесячной выплаты</w:t>
            </w:r>
            <w:r>
              <w:rPr>
                <w:rStyle w:val="Style18"/>
                <w:rFonts w:eastAsia="Calibri" w:cs="Arial" w:ascii="Arial" w:hAnsi="Arial"/>
                <w:b w:val="false"/>
                <w:bCs w:val="false"/>
                <w:i w:val="false"/>
                <w:strike w:val="false"/>
                <w:dstrike w:val="false"/>
                <w:color w:val="000000"/>
                <w:spacing w:val="-2"/>
                <w:position w:val="0"/>
                <w:sz w:val="20"/>
                <w:sz w:val="20"/>
                <w:szCs w:val="20"/>
                <w:highlight w:val="white"/>
                <w:u w:val="none"/>
                <w:vertAlign w:val="baseline"/>
                <w:lang w:val="ru-RU" w:eastAsia="ar-SA"/>
              </w:rPr>
              <w:t>.</w:t>
            </w:r>
          </w:p>
          <w:p>
            <w:pPr>
              <w:pStyle w:val="Normal"/>
              <w:widowControl w:val="false"/>
              <w:spacing w:before="0" w:after="0"/>
              <w:ind w:left="0" w:right="0" w:hanging="0"/>
              <w:jc w:val="both"/>
              <w:rPr>
                <w:rFonts w:ascii="Arial" w:hAnsi="Arial" w:cs="Arial"/>
                <w:spacing w:val="-2"/>
                <w:sz w:val="24"/>
                <w:szCs w:val="24"/>
              </w:rPr>
            </w:pPr>
            <w:r>
              <w:rPr>
                <w:rStyle w:val="Style18"/>
                <w:rFonts w:eastAsia="Calibri" w:cs="Arial" w:ascii="Arial" w:hAnsi="Arial"/>
                <w:b w:val="false"/>
                <w:bCs w:val="false"/>
                <w:i w:val="false"/>
                <w:strike w:val="false"/>
                <w:dstrike w:val="false"/>
                <w:color w:val="000000"/>
                <w:spacing w:val="-2"/>
                <w:position w:val="0"/>
                <w:sz w:val="20"/>
                <w:sz w:val="20"/>
                <w:szCs w:val="20"/>
                <w:highlight w:val="white"/>
                <w:u w:val="none"/>
                <w:vertAlign w:val="baseline"/>
                <w:lang w:val="ru-RU"/>
              </w:rPr>
              <w:t>Право на получение ежемесячной выплаты возникает в случае, если ребенок является гражданином Российской Федерации.</w:t>
            </w:r>
          </w:p>
          <w:p>
            <w:pPr>
              <w:pStyle w:val="Normal"/>
              <w:widowControl w:val="false"/>
              <w:spacing w:lineRule="auto" w:line="240" w:before="0" w:after="0"/>
              <w:ind w:firstLine="540"/>
              <w:jc w:val="both"/>
              <w:rPr/>
            </w:pPr>
            <w:r>
              <w:rPr>
                <w:rFonts w:eastAsia="Times New Roman CE" w:cs="PT Astra Serif;Times New Roman" w:ascii="Arial" w:hAnsi="Arial"/>
                <w:color w:val="000000"/>
                <w:spacing w:val="-2"/>
                <w:sz w:val="20"/>
                <w:szCs w:val="20"/>
                <w:lang w:val="ru-RU" w:eastAsia="ar-SA" w:bidi="ar-SA"/>
              </w:rPr>
              <w:t>Гражданин может воспользоваться государственной услугой через доверенных лиц (лица, которые на основании доверенности уполномочены обращаться в учреждение за предоставлением государственной услуги).</w:t>
            </w:r>
          </w:p>
        </w:tc>
      </w:tr>
      <w:tr>
        <w:trPr/>
        <w:tc>
          <w:tcPr>
            <w:tcW w:w="2774"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19"/>
                <w:szCs w:val="19"/>
              </w:rPr>
            </w:pPr>
            <w:r>
              <w:rPr>
                <w:rFonts w:eastAsia="Times New Roman" w:cs="Arial" w:ascii="Arial" w:hAnsi="Arial"/>
                <w:b/>
                <w:color w:val="403152" w:themeColor="accent4" w:themeShade="80"/>
                <w:sz w:val="20"/>
                <w:szCs w:val="20"/>
                <w:lang w:eastAsia="ru-RU"/>
              </w:rPr>
              <w:t>Наименование</w:t>
            </w:r>
          </w:p>
        </w:tc>
        <w:tc>
          <w:tcPr>
            <w:tcW w:w="12588"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tLeast" w:line="100" w:before="0" w:after="200"/>
              <w:jc w:val="left"/>
              <w:rPr>
                <w:rFonts w:ascii="Arial" w:hAnsi="Arial" w:cs="Arial"/>
                <w:b/>
                <w:b/>
                <w:bCs/>
                <w:sz w:val="24"/>
                <w:szCs w:val="24"/>
              </w:rPr>
            </w:pPr>
            <w:r>
              <w:rPr>
                <w:rStyle w:val="Style15"/>
                <w:rFonts w:cs="Arial" w:ascii="Arial" w:hAnsi="Arial"/>
                <w:b w:val="false"/>
                <w:bCs w:val="false"/>
                <w:i w:val="false"/>
                <w:strike w:val="false"/>
                <w:dstrike w:val="false"/>
                <w:color w:val="000000"/>
                <w:sz w:val="20"/>
                <w:szCs w:val="20"/>
                <w:u w:val="none"/>
              </w:rPr>
              <w:t>Назначение и осуществление ежемесячной денежной выплаты на ребенка в возрасте от трех до семи лет включительно</w:t>
            </w:r>
          </w:p>
        </w:tc>
      </w:tr>
      <w:tr>
        <w:trPr>
          <w:trHeight w:val="653"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Услуга предоставляется</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ascii="Arial" w:hAnsi="Arial"/>
                <w:sz w:val="20"/>
                <w:szCs w:val="20"/>
              </w:rPr>
              <w:t>Услуга предоставляется Главным управлением через подведомственное  учреждение</w:t>
            </w:r>
          </w:p>
        </w:tc>
      </w:tr>
      <w:tr>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sz w:val="20"/>
                <w:szCs w:val="20"/>
                <w:lang w:eastAsia="ru-RU"/>
              </w:rPr>
              <w:t>Обязательные документы</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240" w:after="0"/>
              <w:ind w:hanging="0"/>
              <w:jc w:val="both"/>
              <w:rPr/>
            </w:pPr>
            <w:r>
              <w:rPr>
                <w:rFonts w:eastAsia="Calibri" w:cs="" w:ascii="Arial" w:hAnsi="Arial" w:cstheme="minorBidi" w:eastAsiaTheme="minorHAnsi"/>
                <w:b w:val="false"/>
                <w:bCs w:val="false"/>
                <w:sz w:val="20"/>
                <w:szCs w:val="20"/>
                <w:highlight w:val="white"/>
              </w:rPr>
              <w:t xml:space="preserve">Для </w:t>
            </w:r>
            <w:r>
              <w:rPr>
                <w:rFonts w:eastAsia="Calibri" w:cs="" w:ascii="Arial" w:hAnsi="Arial" w:cstheme="minorBidi" w:eastAsiaTheme="minorHAnsi"/>
                <w:b/>
                <w:bCs/>
                <w:sz w:val="20"/>
                <w:szCs w:val="20"/>
                <w:highlight w:val="white"/>
              </w:rPr>
              <w:t>получения ежемесячной денежной выплаты</w:t>
            </w:r>
            <w:r>
              <w:rPr>
                <w:rFonts w:eastAsia="Calibri" w:cs="" w:ascii="Arial" w:hAnsi="Arial" w:cstheme="minorBidi" w:eastAsiaTheme="minorHAnsi"/>
                <w:b w:val="false"/>
                <w:bCs w:val="false"/>
                <w:sz w:val="20"/>
                <w:szCs w:val="20"/>
                <w:highlight w:val="white"/>
              </w:rPr>
              <w:t xml:space="preserve"> заявитель представляет в учреждение по месту жительства следующие документы:</w:t>
            </w:r>
          </w:p>
          <w:p>
            <w:pPr>
              <w:pStyle w:val="Normal"/>
              <w:widowControl w:val="false"/>
              <w:spacing w:before="240" w:after="0"/>
              <w:ind w:hanging="0"/>
              <w:jc w:val="both"/>
              <w:rPr/>
            </w:pPr>
            <w:r>
              <w:rPr>
                <w:rFonts w:eastAsia="Calibri" w:cs="" w:ascii="Arial" w:hAnsi="Arial" w:cstheme="minorBidi" w:eastAsiaTheme="minorHAnsi"/>
                <w:b w:val="false"/>
                <w:bCs w:val="false"/>
                <w:sz w:val="20"/>
                <w:szCs w:val="20"/>
                <w:highlight w:val="white"/>
              </w:rPr>
              <w:t>1) заявление о назначении ежемесячной денежной выплаты;</w:t>
            </w:r>
          </w:p>
          <w:p>
            <w:pPr>
              <w:pStyle w:val="Normal"/>
              <w:widowControl w:val="false"/>
              <w:spacing w:before="240" w:after="0"/>
              <w:ind w:hanging="0"/>
              <w:jc w:val="both"/>
              <w:rPr/>
            </w:pPr>
            <w:r>
              <w:rPr>
                <w:rFonts w:eastAsia="Calibri" w:cs="" w:ascii="Arial" w:hAnsi="Arial" w:cstheme="minorBidi" w:eastAsiaTheme="minorHAnsi"/>
                <w:b w:val="false"/>
                <w:bCs w:val="false"/>
                <w:sz w:val="20"/>
                <w:szCs w:val="20"/>
                <w:highlight w:val="white"/>
              </w:rPr>
              <w:t>2) с</w:t>
            </w:r>
            <w:r>
              <w:rPr>
                <w:rFonts w:eastAsia="Calibri" w:cs="Arial" w:ascii="Arial" w:hAnsi="Arial" w:eastAsiaTheme="minorHAnsi"/>
                <w:b w:val="false"/>
                <w:bCs w:val="false"/>
                <w:sz w:val="20"/>
                <w:szCs w:val="20"/>
                <w:highlight w:val="white"/>
              </w:rPr>
              <w:t>видетельство о рождении ребенка (п</w:t>
            </w:r>
            <w:r>
              <w:rPr>
                <w:rFonts w:eastAsia="Calibri" w:cs="Arial" w:ascii="Arial" w:hAnsi="Arial" w:eastAsiaTheme="minorHAnsi"/>
                <w:b w:val="false"/>
                <w:bCs w:val="false"/>
                <w:strike w:val="false"/>
                <w:dstrike w:val="false"/>
                <w:sz w:val="20"/>
                <w:szCs w:val="20"/>
                <w:highlight w:val="white"/>
                <w:u w:val="none"/>
              </w:rPr>
              <w:t>редоставляется при регистрации записи акта о рождении ребенка за пределами Российской Федерации).</w:t>
            </w:r>
          </w:p>
        </w:tc>
      </w:tr>
      <w:tr>
        <w:trPr>
          <w:trHeight w:val="745"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19"/>
                <w:szCs w:val="19"/>
              </w:rPr>
            </w:pPr>
            <w:r>
              <w:rPr>
                <w:rFonts w:eastAsia="Times New Roman" w:cs="Arial" w:ascii="Arial" w:hAnsi="Arial"/>
                <w:b/>
                <w:color w:val="403152" w:themeColor="accent4" w:themeShade="80"/>
                <w:sz w:val="20"/>
                <w:szCs w:val="20"/>
                <w:lang w:eastAsia="ru-RU"/>
              </w:rPr>
              <w:t>Необязательные документы</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9"/>
              <w:jc w:val="both"/>
              <w:rPr/>
            </w:pPr>
            <w:r>
              <w:rPr>
                <w:rFonts w:ascii="Arial" w:hAnsi="Arial"/>
                <w:sz w:val="20"/>
                <w:szCs w:val="20"/>
              </w:rPr>
              <w:t>Документы содержащие сведения:</w:t>
            </w:r>
          </w:p>
          <w:p>
            <w:pPr>
              <w:pStyle w:val="Normal"/>
              <w:widowControl w:val="false"/>
              <w:spacing w:before="0" w:after="0"/>
              <w:jc w:val="both"/>
              <w:rPr/>
            </w:pPr>
            <w:r>
              <w:rPr>
                <w:rFonts w:eastAsia="Arial" w:cs="Arial" w:ascii="Arial" w:hAnsi="Arial"/>
                <w:b w:val="false"/>
                <w:bCs w:val="false"/>
                <w:i w:val="false"/>
                <w:iCs w:val="false"/>
                <w:strike w:val="false"/>
                <w:dstrike w:val="false"/>
                <w:position w:val="0"/>
                <w:sz w:val="20"/>
                <w:sz w:val="20"/>
                <w:szCs w:val="20"/>
                <w:u w:val="none"/>
                <w:vertAlign w:val="baseline"/>
                <w:lang w:val="ru-RU" w:bidi="ar-SA"/>
              </w:rPr>
              <w:t xml:space="preserve">1) </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о рождения ребенка;</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2) о смерти ребенка или его законного представителя;</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3) о заключении (расторжении) брака;</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4) выписка (сведения) из решения органа опеки и попечительства об установлении опеки над ребенком;</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5) о законном представителе ребенка;</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6)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7) об ограничении дееспособности или признании родителя либо иного законного представителя ребенка недееспособным;</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8)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9)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субъекта Российской Федерации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10)о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11) о пособии по безработице (материальной помощи и иных выплатах безработным гражданам)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12) о ежемесячных страховых выплатах по обязательному социальному страхованию от несчастных случаев на производстве и профессиональных заболеваний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13) о дивидендах, процентах и иных доходах, полученных по операциям с ценными бумагами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14) о доходах от предпринимательской деятельности и от осуществления частной практики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15) о доходах по договорам авторского заказа, об отчуждении исключительного права на результаты интеллектуальной деятельности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2"/>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 xml:space="preserve">16) о доходах от продажи, аренды имущества </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(за последние 12 календарных месяцев, предшествующих </w:t>
            </w:r>
            <w:r>
              <w:rPr>
                <w:rFonts w:eastAsia="Arial" w:cs="Arial" w:ascii="Arial" w:hAnsi="Arial"/>
                <w:b/>
                <w:bCs/>
                <w:i w:val="false"/>
                <w:iCs w:val="false"/>
                <w:strike w:val="false"/>
                <w:dstrike w:val="false"/>
                <w:outline w:val="false"/>
                <w:shadow w:val="false"/>
                <w:color w:val="000000"/>
                <w:kern w:val="0"/>
                <w:position w:val="0"/>
                <w:sz w:val="20"/>
                <w:sz w:val="20"/>
                <w:szCs w:val="20"/>
                <w:u w:val="none"/>
                <w:vertAlign w:val="baseline"/>
                <w:lang w:val="ru-RU" w:eastAsia="en-US" w:bidi="ar-SA"/>
              </w:rPr>
              <w:t>4</w:t>
            </w:r>
            <w:r>
              <w:rPr>
                <w:rFonts w:eastAsia="Arial" w:cs="Arial" w:ascii="Arial" w:hAnsi="Arial"/>
                <w:b/>
                <w:bCs/>
                <w:i w:val="false"/>
                <w:iCs w:val="false"/>
                <w:strike w:val="false"/>
                <w:dstrike w:val="false"/>
                <w:outline w:val="false"/>
                <w:shadow w:val="false"/>
                <w:color w:val="000000"/>
                <w:position w:val="0"/>
                <w:sz w:val="20"/>
                <w:sz w:val="20"/>
                <w:szCs w:val="20"/>
                <w:u w:val="none"/>
                <w:vertAlign w:val="baseline"/>
                <w:lang w:val="ru-RU" w:bidi="ar-SA"/>
              </w:rPr>
              <w:t xml:space="preserve"> календарным месяцам перед месяцем подачи заявления о назначении ежемесячной выплаты)</w:t>
            </w: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17) о недвижимом имуществе, содержащиеся в Едином государственном реестре недвижимости;</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18) об ином имуществе, формируемые в соответствии с требованиями нормативных правовых актов Российской Федерации;</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19) о наличии либо отсутствии регистрации по месту жительства и месту пребывания гражданина Российской Федерации в пределах Российской Федерации;</w:t>
            </w:r>
          </w:p>
          <w:p>
            <w:pPr>
              <w:pStyle w:val="Normal"/>
              <w:widowControl w:val="false"/>
              <w:spacing w:before="0" w:after="0"/>
              <w:ind w:left="0" w:right="0" w:hanging="0"/>
              <w:jc w:val="both"/>
              <w:rPr>
                <w:rFonts w:ascii="Arial" w:hAnsi="Arial" w:eastAsia="Arial" w:cs="Arial"/>
                <w:b w:val="false"/>
                <w:b w:val="false"/>
                <w:bCs w:val="false"/>
                <w:i w:val="false"/>
                <w:i w:val="false"/>
                <w:iCs w:val="false"/>
                <w:strike w:val="false"/>
                <w:dstrike w:val="false"/>
                <w:position w:val="0"/>
                <w:sz w:val="20"/>
                <w:sz w:val="20"/>
                <w:szCs w:val="20"/>
                <w:u w:val="none"/>
                <w:vertAlign w:val="baseline"/>
                <w:lang w:val="ru-RU" w:bidi="ar-SA"/>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20) о признании гражданина безработным:</w:t>
            </w:r>
          </w:p>
          <w:p>
            <w:pPr>
              <w:pStyle w:val="Normal"/>
              <w:widowControl w:val="false"/>
              <w:spacing w:before="0" w:after="0"/>
              <w:ind w:left="0" w:right="0" w:hanging="0"/>
              <w:jc w:val="both"/>
              <w:rPr/>
            </w:pPr>
            <w:r>
              <w:rPr>
                <w:rFonts w:eastAsia="Arial" w:cs="Arial" w:ascii="Arial" w:hAnsi="Arial"/>
                <w:b w:val="false"/>
                <w:bCs w:val="false"/>
                <w:i w:val="false"/>
                <w:iCs w:val="false"/>
                <w:strike w:val="false"/>
                <w:dstrike w:val="false"/>
                <w:outline w:val="false"/>
                <w:shadow w:val="false"/>
                <w:color w:val="000000"/>
                <w:position w:val="0"/>
                <w:sz w:val="20"/>
                <w:sz w:val="20"/>
                <w:szCs w:val="20"/>
                <w:u w:val="none"/>
                <w:vertAlign w:val="baseline"/>
                <w:lang w:val="ru-RU" w:bidi="ar-SA"/>
              </w:rPr>
              <w:t>21) о назначении ежемесячной денежной выплаты на ребенка от трех до семи лет включительно по прежнему месту жительства (месту пребывания) заявителя, по месту жительства (месту пребывания) второго родителя, по месту жительства заявителя (при обращении за указанной выплатой по месту пребывания).</w:t>
            </w:r>
          </w:p>
        </w:tc>
      </w:tr>
      <w:tr>
        <w:trPr>
          <w:trHeight w:val="1528"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Результат</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rPr>
                <w:rFonts w:ascii="Arial" w:hAnsi="Arial"/>
                <w:sz w:val="20"/>
                <w:szCs w:val="20"/>
              </w:rPr>
            </w:pPr>
            <w:r>
              <w:rPr>
                <w:rFonts w:ascii="Arial" w:hAnsi="Arial"/>
                <w:sz w:val="20"/>
                <w:szCs w:val="20"/>
              </w:rPr>
              <w:t xml:space="preserve">Результатом предоставления государственных услуг является: </w:t>
            </w:r>
          </w:p>
          <w:p>
            <w:pPr>
              <w:pStyle w:val="Normal"/>
              <w:widowControl w:val="false"/>
              <w:rPr/>
            </w:pPr>
            <w:r>
              <w:rPr>
                <w:rFonts w:ascii="Arial" w:hAnsi="Arial"/>
                <w:sz w:val="20"/>
                <w:szCs w:val="20"/>
              </w:rPr>
              <w:t xml:space="preserve">- </w:t>
            </w:r>
            <w:r>
              <w:rPr>
                <w:rFonts w:cs="Arial" w:ascii="Arial" w:hAnsi="Arial"/>
                <w:sz w:val="20"/>
                <w:szCs w:val="20"/>
                <w:highlight w:val="white"/>
              </w:rPr>
              <w:t>Решение о назначении ежемесячной выплаты</w:t>
            </w:r>
            <w:r>
              <w:rPr>
                <w:rFonts w:ascii="Arial" w:hAnsi="Arial"/>
                <w:sz w:val="20"/>
                <w:szCs w:val="20"/>
              </w:rPr>
              <w:t>;</w:t>
            </w:r>
          </w:p>
          <w:p>
            <w:pPr>
              <w:pStyle w:val="Normal"/>
              <w:widowControl w:val="false"/>
              <w:spacing w:before="0" w:after="200"/>
              <w:rPr/>
            </w:pPr>
            <w:r>
              <w:rPr>
                <w:rFonts w:ascii="Arial" w:hAnsi="Arial"/>
                <w:sz w:val="20"/>
                <w:szCs w:val="20"/>
              </w:rPr>
              <w:t xml:space="preserve">- </w:t>
            </w:r>
            <w:r>
              <w:rPr>
                <w:rFonts w:cs="Arial" w:ascii="Arial" w:hAnsi="Arial"/>
                <w:sz w:val="20"/>
                <w:szCs w:val="20"/>
              </w:rPr>
              <w:t>Уведомление об отказе в назначении ежемесячной выплаты.</w:t>
            </w:r>
          </w:p>
        </w:tc>
      </w:tr>
      <w:tr>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Срок предоставления услуги</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240" w:after="0"/>
              <w:ind w:hanging="0"/>
              <w:jc w:val="both"/>
              <w:rPr/>
            </w:pPr>
            <w:r>
              <w:rPr>
                <w:rFonts w:ascii="Arial" w:hAnsi="Arial"/>
                <w:sz w:val="20"/>
                <w:szCs w:val="20"/>
              </w:rPr>
              <w:t>Решение н</w:t>
            </w:r>
            <w:r>
              <w:rPr>
                <w:rStyle w:val="Style15"/>
                <w:rFonts w:cs="Arial" w:ascii="Arial" w:hAnsi="Arial"/>
                <w:b w:val="false"/>
                <w:bCs w:val="false"/>
                <w:i w:val="false"/>
                <w:strike w:val="false"/>
                <w:dstrike w:val="false"/>
                <w:color w:val="000000"/>
                <w:sz w:val="20"/>
                <w:szCs w:val="20"/>
                <w:u w:val="none"/>
              </w:rPr>
              <w:t>азначении и осуществление ежемесячной денежной выплаты на ребенка в возрасте от трех до семи лет включительно</w:t>
            </w:r>
            <w:r>
              <w:rPr>
                <w:rFonts w:ascii="Arial" w:hAnsi="Arial"/>
                <w:sz w:val="20"/>
                <w:szCs w:val="20"/>
              </w:rPr>
              <w:t xml:space="preserve"> принимается учреждением в течение </w:t>
            </w:r>
            <w:r>
              <w:rPr>
                <w:rFonts w:ascii="Arial" w:hAnsi="Arial"/>
                <w:b/>
                <w:bCs/>
                <w:sz w:val="20"/>
                <w:szCs w:val="20"/>
              </w:rPr>
              <w:t>10 рабочих дней</w:t>
            </w:r>
            <w:r>
              <w:rPr>
                <w:rFonts w:ascii="Arial" w:hAnsi="Arial"/>
                <w:sz w:val="20"/>
                <w:szCs w:val="20"/>
              </w:rPr>
              <w:t xml:space="preserve"> с даты обращения за назначением </w:t>
            </w:r>
            <w:r>
              <w:rPr>
                <w:rStyle w:val="Style15"/>
                <w:rFonts w:cs="Arial" w:ascii="Arial" w:hAnsi="Arial"/>
                <w:b w:val="false"/>
                <w:bCs w:val="false"/>
                <w:i w:val="false"/>
                <w:strike w:val="false"/>
                <w:dstrike w:val="false"/>
                <w:color w:val="000000"/>
                <w:sz w:val="20"/>
                <w:szCs w:val="20"/>
                <w:u w:val="none"/>
              </w:rPr>
              <w:t>ежемесячной денежной выплаты</w:t>
            </w:r>
            <w:r>
              <w:rPr>
                <w:rFonts w:ascii="Arial" w:hAnsi="Arial"/>
                <w:sz w:val="20"/>
                <w:szCs w:val="20"/>
              </w:rPr>
              <w:t xml:space="preserve">. </w:t>
            </w:r>
          </w:p>
          <w:p>
            <w:pPr>
              <w:pStyle w:val="Normal"/>
              <w:widowControl w:val="false"/>
              <w:spacing w:lineRule="auto" w:line="240" w:before="0" w:after="0"/>
              <w:ind w:left="0" w:right="0" w:hanging="0"/>
              <w:jc w:val="both"/>
              <w:rPr>
                <w:rFonts w:ascii="Arial" w:hAnsi="Arial"/>
                <w:sz w:val="24"/>
                <w:szCs w:val="24"/>
              </w:rPr>
            </w:pPr>
            <w:r>
              <w:rPr>
                <w:rFonts w:ascii="Arial" w:hAnsi="Arial"/>
                <w:sz w:val="20"/>
                <w:szCs w:val="20"/>
              </w:rPr>
              <w:t xml:space="preserve">Срок принятия решения о назначении либо об отказе в назначении ежемесячной выплаты приостанавливается в случае непоступления сведений, запрашиваемых в рамках межведомственного взаимодействия. При этом решение о назначении либо об отказе в назначении ежемесячной выплаты выносится в течение </w:t>
            </w:r>
            <w:r>
              <w:rPr>
                <w:rFonts w:ascii="Arial" w:hAnsi="Arial"/>
                <w:b/>
                <w:bCs/>
                <w:sz w:val="20"/>
                <w:szCs w:val="20"/>
              </w:rPr>
              <w:t>20 рабочих дней</w:t>
            </w:r>
            <w:r>
              <w:rPr>
                <w:rFonts w:ascii="Arial" w:hAnsi="Arial"/>
                <w:sz w:val="20"/>
                <w:szCs w:val="20"/>
              </w:rPr>
              <w:t xml:space="preserve"> со дня приема заявления.</w:t>
            </w:r>
          </w:p>
        </w:tc>
      </w:tr>
      <w:tr>
        <w:trPr>
          <w:trHeight w:val="726"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pPr>
            <w:r>
              <w:rPr>
                <w:rFonts w:eastAsia="Times New Roman" w:cs="Arial" w:ascii="Arial" w:hAnsi="Arial"/>
                <w:b/>
                <w:color w:val="403152" w:themeColor="accent4" w:themeShade="80"/>
                <w:sz w:val="20"/>
                <w:szCs w:val="20"/>
                <w:lang w:eastAsia="ru-RU"/>
              </w:rPr>
              <w:t>Основание для отказа в приеме заявления</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hanging="0"/>
              <w:jc w:val="both"/>
              <w:rPr/>
            </w:pPr>
            <w:r>
              <w:rPr>
                <w:rFonts w:eastAsia="Times New Roman" w:cs="PT Astra Serif" w:ascii="Arial" w:hAnsi="Arial"/>
                <w:color w:val="000000"/>
                <w:sz w:val="20"/>
                <w:szCs w:val="20"/>
                <w:highlight w:val="white"/>
                <w:lang w:eastAsia="ru-RU"/>
              </w:rPr>
              <w:t>О</w:t>
            </w:r>
            <w:r>
              <w:rPr>
                <w:rFonts w:ascii="Arial" w:hAnsi="Arial"/>
                <w:sz w:val="20"/>
                <w:szCs w:val="20"/>
              </w:rPr>
              <w:t>снования для отказа в приеме документов, необходимых для предоставления государственной услуги отсутствуют.</w:t>
            </w:r>
          </w:p>
        </w:tc>
      </w:tr>
      <w:tr>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19"/>
                <w:szCs w:val="19"/>
              </w:rPr>
            </w:pPr>
            <w:r>
              <w:rPr>
                <w:rFonts w:eastAsia="Times New Roman" w:cs="Arial" w:ascii="Arial" w:hAnsi="Arial"/>
                <w:b/>
                <w:color w:val="403152" w:themeColor="accent4" w:themeShade="80"/>
                <w:sz w:val="20"/>
                <w:szCs w:val="20"/>
                <w:lang w:eastAsia="ru-RU"/>
              </w:rPr>
              <w:t>Стоимость</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pPr>
            <w:r>
              <w:rPr>
                <w:rFonts w:eastAsia="Times New Roman" w:cs="Arial" w:ascii="Arial" w:hAnsi="Arial"/>
                <w:color w:val="000000"/>
                <w:sz w:val="20"/>
                <w:szCs w:val="20"/>
                <w:lang w:eastAsia="ru-RU"/>
              </w:rPr>
              <w:t>З</w:t>
            </w:r>
            <w:r>
              <w:rPr>
                <w:rFonts w:ascii="Arial" w:hAnsi="Arial"/>
                <w:sz w:val="20"/>
                <w:szCs w:val="20"/>
              </w:rPr>
              <w:t>а предоставление государственной услуги государственная пошлина или иная плата не взимается.</w:t>
            </w:r>
          </w:p>
        </w:tc>
      </w:tr>
      <w:tr>
        <w:trPr>
          <w:trHeight w:val="1395"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Иные требования, учитывающие особенности предоставления государственной услуги через МФЦ</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hanging="0"/>
              <w:jc w:val="both"/>
              <w:rPr/>
            </w:pPr>
            <w:r>
              <w:rPr>
                <w:rFonts w:eastAsia="Times New Roman" w:cs="Calibri" w:ascii="Arial" w:hAnsi="Arial"/>
                <w:color w:val="000000"/>
                <w:sz w:val="20"/>
                <w:szCs w:val="20"/>
                <w:highlight w:val="white"/>
                <w:lang w:eastAsia="ru-RU"/>
              </w:rPr>
              <w:t>В</w:t>
            </w:r>
            <w:r>
              <w:rPr>
                <w:rFonts w:ascii="Arial" w:hAnsi="Arial"/>
                <w:sz w:val="20"/>
                <w:szCs w:val="20"/>
              </w:rPr>
              <w:t xml:space="preserve"> случае подачи заявления и необходимых документов через ГБУ «МФЦ» уведомление об отказе в предоставлении государственной услуги направляется в течение 1 рабочих после принятия решения в ГБУ «МФЦ» для выдачи заявителю.</w:t>
            </w:r>
          </w:p>
          <w:p>
            <w:pPr>
              <w:pStyle w:val="Normal"/>
              <w:widowControl w:val="false"/>
              <w:spacing w:lineRule="auto" w:line="240" w:before="0" w:after="0"/>
              <w:ind w:hanging="0"/>
              <w:jc w:val="both"/>
              <w:rPr>
                <w:rFonts w:ascii="Arial" w:hAnsi="Arial" w:cs="Arial"/>
                <w:sz w:val="20"/>
                <w:szCs w:val="20"/>
                <w:highlight w:val="white"/>
              </w:rPr>
            </w:pPr>
            <w:r>
              <w:rPr>
                <w:rFonts w:cs="Arial" w:ascii="Arial" w:hAnsi="Arial"/>
                <w:sz w:val="20"/>
                <w:szCs w:val="20"/>
                <w:highlight w:val="white"/>
              </w:rPr>
            </w:r>
          </w:p>
          <w:p>
            <w:pPr>
              <w:pStyle w:val="Normal"/>
              <w:widowControl w:val="false"/>
              <w:spacing w:lineRule="auto" w:line="240" w:before="0" w:after="0"/>
              <w:ind w:hanging="0"/>
              <w:jc w:val="both"/>
              <w:rPr/>
            </w:pPr>
            <w:r>
              <w:rPr>
                <w:rFonts w:cs="Arial" w:ascii="Arial" w:hAnsi="Arial"/>
                <w:sz w:val="20"/>
                <w:szCs w:val="20"/>
                <w:highlight w:val="white"/>
              </w:rPr>
              <w:t xml:space="preserve">Решение о назначении ежемесячной выплаты в ГБУ «МФЦ» </w:t>
            </w:r>
            <w:r>
              <w:rPr>
                <w:rFonts w:cs="Arial" w:ascii="Arial" w:hAnsi="Arial"/>
                <w:b/>
                <w:bCs/>
                <w:sz w:val="20"/>
                <w:szCs w:val="20"/>
                <w:highlight w:val="white"/>
              </w:rPr>
              <w:t>не выдается.</w:t>
            </w:r>
          </w:p>
        </w:tc>
      </w:tr>
      <w:tr>
        <w:trPr>
          <w:trHeight w:val="955" w:hRule="atLeast"/>
        </w:trPr>
        <w:tc>
          <w:tcPr>
            <w:tcW w:w="27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0"/>
                <w:szCs w:val="20"/>
                <w:lang w:eastAsia="ru-RU"/>
              </w:rPr>
              <w:t>Административный регламент</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00"/>
              <w:jc w:val="both"/>
              <w:rPr>
                <w:rFonts w:ascii="Arial" w:hAnsi="Arial"/>
                <w:sz w:val="24"/>
                <w:szCs w:val="24"/>
              </w:rPr>
            </w:pPr>
            <w:r>
              <w:rPr>
                <w:rFonts w:ascii="Arial" w:hAnsi="Arial"/>
                <w:sz w:val="20"/>
                <w:szCs w:val="20"/>
              </w:rPr>
              <w:t>Приказ №181 от 08.05.2020 об утверждении Административного регламента предоставления государственн</w:t>
            </w:r>
            <w:r>
              <w:rPr>
                <w:rFonts w:ascii="Arial" w:hAnsi="Arial"/>
                <w:sz w:val="20"/>
                <w:szCs w:val="20"/>
                <w:lang w:val="ru-RU"/>
              </w:rPr>
              <w:t>ой</w:t>
            </w:r>
            <w:r>
              <w:rPr>
                <w:rFonts w:ascii="Arial" w:hAnsi="Arial"/>
                <w:sz w:val="20"/>
                <w:szCs w:val="20"/>
              </w:rPr>
              <w:t xml:space="preserve"> услуг</w:t>
            </w:r>
            <w:r>
              <w:rPr>
                <w:rFonts w:ascii="Arial" w:hAnsi="Arial"/>
                <w:sz w:val="20"/>
                <w:szCs w:val="20"/>
                <w:lang w:val="ru-RU"/>
              </w:rPr>
              <w:t>и</w:t>
            </w:r>
            <w:r>
              <w:rPr>
                <w:rFonts w:ascii="Arial" w:hAnsi="Arial"/>
                <w:sz w:val="20"/>
                <w:szCs w:val="20"/>
              </w:rPr>
              <w:t xml:space="preserve"> по назначению и </w:t>
            </w:r>
            <w:r>
              <w:rPr>
                <w:rFonts w:ascii="Arial" w:hAnsi="Arial"/>
                <w:sz w:val="20"/>
                <w:szCs w:val="20"/>
                <w:lang w:val="ru-RU"/>
              </w:rPr>
              <w:t>осуществлению ежемесячной денежной выплаты на ребенка в возрасте от трех до семи лет включительно</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5">
    <w:name w:val="Основной шрифт абзаца"/>
    <w:qFormat/>
    <w:rPr/>
  </w:style>
  <w:style w:type="character" w:styleId="Style16">
    <w:name w:val="Интернет-ссылка"/>
    <w:basedOn w:val="Style15"/>
    <w:rPr>
      <w:color w:val="0000FF"/>
      <w:u w:val="single"/>
    </w:rPr>
  </w:style>
  <w:style w:type="character" w:styleId="Style17">
    <w:name w:val="Посещённая гиперссылка"/>
    <w:basedOn w:val="Style15"/>
    <w:rPr>
      <w:color w:val="800080"/>
      <w:u w:val="single"/>
    </w:rPr>
  </w:style>
  <w:style w:type="character" w:styleId="Style18">
    <w:name w:val="Выделение жирным"/>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color w:val="00000A"/>
      <w:lang w:eastAsia="ru-RU"/>
    </w:rPr>
  </w:style>
  <w:style w:type="paragraph" w:styleId="ConsPlusTitle" w:customStyle="1">
    <w:name w:val="ConsPlusTitle"/>
    <w:qFormat/>
    <w:rsid w:val="005c6575"/>
    <w:pPr>
      <w:widowControl w:val="false"/>
      <w:bidi w:val="0"/>
      <w:spacing w:lineRule="auto" w:line="240" w:before="0" w:after="0"/>
      <w:jc w:val="left"/>
    </w:pPr>
    <w:rPr>
      <w:rFonts w:ascii="Calibri" w:hAnsi="Calibri" w:eastAsia="Times New Roman" w:cs="Calibri" w:asciiTheme="minorHAnsi" w:hAnsiTheme="minorHAnsi"/>
      <w:b/>
      <w:color w:val="00000A"/>
      <w:kern w:val="0"/>
      <w:sz w:val="22"/>
      <w:szCs w:val="20"/>
      <w:lang w:val="ru-RU" w:eastAsia="ru-RU" w:bidi="ar-SA"/>
    </w:rPr>
  </w:style>
  <w:style w:type="paragraph" w:styleId="ConsPlusNormal" w:customStyle="1">
    <w:name w:val="ConsPlusNormal"/>
    <w:qFormat/>
    <w:rsid w:val="005c6575"/>
    <w:pPr>
      <w:widowControl w:val="false"/>
      <w:bidi w:val="0"/>
      <w:spacing w:lineRule="auto" w:line="240" w:before="0" w:after="0"/>
      <w:jc w:val="left"/>
    </w:pPr>
    <w:rPr>
      <w:rFonts w:ascii="Calibri" w:hAnsi="Calibri" w:eastAsia="Times New Roman" w:cs="Calibri" w:asciiTheme="minorHAnsi" w:hAnsiTheme="minorHAnsi"/>
      <w:color w:val="00000A"/>
      <w:kern w:val="0"/>
      <w:sz w:val="22"/>
      <w:szCs w:val="20"/>
      <w:lang w:val="ru-RU" w:eastAsia="ru-RU" w:bidi="ar-SA"/>
    </w:rPr>
  </w:style>
  <w:style w:type="paragraph" w:styleId="Style24">
    <w:name w:val="Содержимое таблицы"/>
    <w:basedOn w:val="Normal"/>
    <w:qFormat/>
    <w:pPr/>
    <w:rPr/>
  </w:style>
  <w:style w:type="paragraph" w:styleId="Style25">
    <w:name w:val="Заголовок таблицы"/>
    <w:basedOn w:val="Style24"/>
    <w:qFormat/>
    <w:pPr/>
    <w:rPr/>
  </w:style>
  <w:style w:type="paragraph" w:styleId="Style26">
    <w:name w:val="Обычный (веб)"/>
    <w:basedOn w:val="Normal"/>
    <w:qFormat/>
    <w:pPr>
      <w:overflowPunct w:val="true"/>
      <w:spacing w:lineRule="auto" w:line="324" w:before="0" w:after="360"/>
      <w:textAlignment w:val="auto"/>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Application>LibreOffice/7.0.0.3$Windows_X86_64 LibreOffice_project/8061b3e9204bef6b321a21033174034a5e2ea88e</Application>
  <Pages>3</Pages>
  <Words>835</Words>
  <Characters>5938</Characters>
  <CharactersWithSpaces>6723</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2019-10-31T13:08:23Z</cp:lastPrinted>
  <dcterms:modified xsi:type="dcterms:W3CDTF">2022-04-26T15:54:43Z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