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shd w:fill="auto" w:val="clear"/>
                <w:lang w:val="ru-RU" w:eastAsia="zxx" w:bidi="zxx"/>
              </w:rPr>
              <w:t>Предоставление сведений, содержащихся в государственной информационной системе обеспечения градостроительной деятельности.</w:t>
            </w:r>
          </w:p>
        </w:tc>
      </w:tr>
      <w:tr>
        <w:trPr>
          <w:trHeight w:val="307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заявление;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документ, удостоверяющий личность;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 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val="ru-RU" w:eastAsia="ru-RU"/>
              </w:rPr>
              <w:t>схема с указанием места расположения земельного участка/элемента планировочной структуры (в случае, если информация запрашивается в отношении земельного участка/элемента планировочной структуры);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- документ, подтверждающий право заявителя на получение сведений, содержащихся в ИСОГД бесплатно, либо документ, подтверждающий внесение платы за предоставление сведений, содержащихся в ИСОГД (копия платежного поручения с отметкой банка или иной кредитной организации о его исполнении (в случае внесения платы в безналичной форме), квитанция установленной формы (в случае внесения платы наличными средствами))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35" w:leader="none"/>
                <w:tab w:val="left" w:pos="1157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- выдача (направление) заявителю сведений, содержащихся в государственной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информационной системе обеспечения градостроительной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49" w:leader="none"/>
                <w:tab w:val="left" w:pos="1157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auto" w:val="clear"/>
                <w:lang w:val="ru-RU" w:eastAsia="zxx" w:bidi="zxx"/>
              </w:rPr>
            </w:pP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" w:eastAsia="zxx" w:bidi="zxx"/>
              </w:rPr>
              <w:t>- отказ в предоставлении сведений, содержащихся в ИСОГД, с указанием причины отказа.</w:t>
            </w:r>
          </w:p>
        </w:tc>
      </w:tr>
      <w:tr>
        <w:trPr>
          <w:trHeight w:val="86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eastAsia="Calibri" w:cs="PT Astra Serif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 календарных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Курганской области от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zxx" w:bidi="zxx"/>
              </w:rPr>
              <w:t>26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июня 2023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319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Об  утверждении Административного регламента  предоставления Администрацией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zxx" w:bidi="zxx"/>
              </w:rPr>
              <w:t xml:space="preserve">Юргамышского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 Курганской области муниципальной услуги «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 w:themeColor="text1"/>
                <w:sz w:val="24"/>
                <w:szCs w:val="24"/>
                <w:lang w:val="ru-RU" w:eastAsia="zxx" w:bidi="zxx"/>
              </w:rPr>
              <w:t>Предоставление сведений, содержащихся в государственной информационной системе обеспечения градостроительной деятельности.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LibreOffice/7.0.4.2$Windows_X86_64 LibreOffice_project/dcf040e67528d9187c66b2379df5ea4407429775</Application>
  <AppVersion>15.0000</AppVersion>
  <Pages>2</Pages>
  <Words>203</Words>
  <Characters>1674</Characters>
  <CharactersWithSpaces>1855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2024-12-16T10:17:25Z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