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1BBB" w:rsidRDefault="0016168C" w:rsidP="00416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A71B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Лебяжьевского</w:t>
            </w:r>
            <w:proofErr w:type="spellEnd"/>
            <w:r w:rsidRPr="00A71B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1BBB" w:rsidRDefault="00755FD8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A71BBB">
        <w:trPr>
          <w:trHeight w:val="110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75AF9" w:rsidRPr="00A71BBB" w:rsidRDefault="00775AF9" w:rsidP="00775AF9">
            <w:pPr>
              <w:pStyle w:val="western"/>
              <w:spacing w:after="0"/>
              <w:rPr>
                <w:sz w:val="21"/>
                <w:szCs w:val="21"/>
              </w:rPr>
            </w:pPr>
            <w:r w:rsidRPr="00A71BBB">
              <w:rPr>
                <w:sz w:val="21"/>
                <w:szCs w:val="21"/>
              </w:rPr>
              <w:t xml:space="preserve">Муниципальная услуга предоставляется Администрацией </w:t>
            </w:r>
            <w:proofErr w:type="spellStart"/>
            <w:r w:rsidRPr="00A71BBB">
              <w:rPr>
                <w:sz w:val="21"/>
                <w:szCs w:val="21"/>
              </w:rPr>
              <w:t>Лебяжьевского</w:t>
            </w:r>
            <w:proofErr w:type="spellEnd"/>
            <w:r w:rsidRPr="00A71BBB">
              <w:rPr>
                <w:sz w:val="21"/>
                <w:szCs w:val="21"/>
              </w:rPr>
              <w:t xml:space="preserve"> района. </w:t>
            </w:r>
          </w:p>
          <w:p w:rsidR="00775AF9" w:rsidRPr="00A71BBB" w:rsidRDefault="00775AF9" w:rsidP="00775AF9">
            <w:pPr>
              <w:pStyle w:val="western"/>
              <w:spacing w:after="0"/>
              <w:rPr>
                <w:sz w:val="21"/>
                <w:szCs w:val="21"/>
              </w:rPr>
            </w:pPr>
            <w:r w:rsidRPr="00A71BBB">
              <w:rPr>
                <w:sz w:val="21"/>
                <w:szCs w:val="21"/>
              </w:rPr>
              <w:t xml:space="preserve">Непосредственное предоставление муниципальной услуги обеспечивается отделом инвестиционных программ, строительства и ЖКХ Администрации </w:t>
            </w:r>
            <w:proofErr w:type="spellStart"/>
            <w:r w:rsidRPr="00A71BBB">
              <w:rPr>
                <w:sz w:val="21"/>
                <w:szCs w:val="21"/>
              </w:rPr>
              <w:t>Лебяжьевского</w:t>
            </w:r>
            <w:proofErr w:type="spellEnd"/>
            <w:r w:rsidRPr="00A71BBB">
              <w:rPr>
                <w:sz w:val="21"/>
                <w:szCs w:val="21"/>
              </w:rPr>
              <w:t xml:space="preserve"> района.</w:t>
            </w:r>
          </w:p>
          <w:p w:rsidR="00236378" w:rsidRPr="00A71B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55FD8" w:rsidRPr="00A71BBB" w:rsidRDefault="00755FD8" w:rsidP="00221FAD">
            <w:pPr>
              <w:pStyle w:val="western"/>
              <w:spacing w:after="0"/>
              <w:jc w:val="both"/>
              <w:rPr>
                <w:sz w:val="21"/>
                <w:szCs w:val="21"/>
              </w:rPr>
            </w:pPr>
            <w:r w:rsidRPr="00A71BBB">
              <w:rPr>
                <w:sz w:val="21"/>
                <w:szCs w:val="21"/>
              </w:rPr>
              <w:t>Заявителями на получение муниципальной услуги являются юридические и физические лица, являющиеся застройщиками в соответствии с Градостроительным кодексом Российской Федерации, подавшие в установленном порядке необходимые для предоставления муниципальной услуги документы.</w:t>
            </w:r>
          </w:p>
          <w:p w:rsidR="00236378" w:rsidRPr="00A71BBB" w:rsidRDefault="00236378" w:rsidP="00416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1A0F" w:rsidRPr="00B71A0F" w:rsidRDefault="00B71A0F" w:rsidP="00B71A0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Необходимыми для предоставления муниципальной услуги, по выдаче разрешения на строительство, документами являются:</w:t>
            </w:r>
          </w:p>
          <w:p w:rsidR="00B71A0F" w:rsidRPr="00B71A0F" w:rsidRDefault="00B71A0F" w:rsidP="00B71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заявление о выдаче разрешения на строительство;</w:t>
            </w:r>
          </w:p>
          <w:p w:rsidR="00B71A0F" w:rsidRPr="00B71A0F" w:rsidRDefault="00EE7A91" w:rsidP="00EE7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Росатом</w:t>
            </w:r>
            <w:proofErr w:type="spell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», Государственной корпорацией по космической деятельности «</w:t>
            </w:r>
            <w:proofErr w:type="spell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Роскосмос</w:t>
            </w:r>
            <w:proofErr w:type="spell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 </w:t>
            </w:r>
            <w:proofErr w:type="gramEnd"/>
          </w:p>
          <w:p w:rsidR="00B71A0F" w:rsidRPr="00B71A0F" w:rsidRDefault="00EE7A91" w:rsidP="00EE7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proofErr w:type="gram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B71A0F" w:rsidRPr="00B71A0F" w:rsidRDefault="00EE7A91" w:rsidP="00B71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материалы, содержащиеся в проектной документации:</w:t>
            </w:r>
          </w:p>
          <w:p w:rsidR="00B71A0F" w:rsidRPr="00B71A0F" w:rsidRDefault="00EE7A91" w:rsidP="00B71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пояснительная записка;</w:t>
            </w:r>
          </w:p>
          <w:p w:rsidR="00B71A0F" w:rsidRPr="00B71A0F" w:rsidRDefault="00EE7A91" w:rsidP="00EE7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 w:rsidR="00B71A0F" w:rsidRPr="00B71A0F" w:rsidRDefault="00BF750F" w:rsidP="00BF750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B71A0F" w:rsidRPr="00B71A0F" w:rsidRDefault="00BF750F" w:rsidP="00B71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архитектурные решения;</w:t>
            </w:r>
          </w:p>
          <w:p w:rsidR="00B71A0F" w:rsidRPr="00B71A0F" w:rsidRDefault="00BF750F" w:rsidP="00BF750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сведения об инженерном оборудовании, сводный план сетей </w:t>
            </w:r>
            <w:proofErr w:type="spell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инженерно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softHyphen/>
              <w:t>технического</w:t>
            </w:r>
            <w:proofErr w:type="spell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обеспечения с обозначением мест подключения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(технологического присоединения)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проектируемого объекта капитального строительства к сетям инженерно-технического обеспечения;</w:t>
            </w:r>
          </w:p>
          <w:p w:rsidR="00B71A0F" w:rsidRPr="00B71A0F" w:rsidRDefault="00BF750F" w:rsidP="00B71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проект организации строительства объекта капитального строительства;</w:t>
            </w:r>
          </w:p>
          <w:p w:rsidR="00B71A0F" w:rsidRPr="00B71A0F" w:rsidRDefault="00BF750F" w:rsidP="00B71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проект организации работ по сносу объектов капитального строительства, их частей;</w:t>
            </w:r>
          </w:p>
          <w:p w:rsidR="00B71A0F" w:rsidRPr="00B71A0F" w:rsidRDefault="00382C18" w:rsidP="00144D6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 </w:t>
            </w:r>
            <w:hyperlink r:id="rId7" w:anchor="dst101091" w:tgtFrame="_top" w:history="1">
              <w:r w:rsidR="00B71A0F" w:rsidRPr="00A71BBB">
                <w:rPr>
                  <w:rFonts w:ascii="Arial" w:eastAsia="Times New Roman" w:hAnsi="Arial" w:cs="Arial"/>
                  <w:color w:val="000000"/>
                  <w:sz w:val="21"/>
                  <w:szCs w:val="21"/>
                  <w:u w:val="single"/>
                  <w:shd w:val="clear" w:color="auto" w:fill="FFFFFF"/>
                  <w:lang w:eastAsia="ru-RU"/>
                </w:rPr>
                <w:t>статьей 49</w:t>
              </w:r>
            </w:hyperlink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 Градостроительного кодекса Российской Федерации;</w:t>
            </w:r>
            <w:proofErr w:type="gramEnd"/>
          </w:p>
          <w:p w:rsidR="00B71A0F" w:rsidRPr="00B71A0F" w:rsidRDefault="00382C18" w:rsidP="00144D6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экспертизы проектной документации в случаях, предусмотренных частью 6 статьи 49 Градостроительного кодекса Российской Федерации;</w:t>
            </w:r>
          </w:p>
          <w:p w:rsidR="00B71A0F" w:rsidRPr="00B71A0F" w:rsidRDefault="00382C18" w:rsidP="00144D6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</w:t>
            </w:r>
            <w:hyperlink w:anchor="bookmark8" w:tgtFrame="_top" w:history="1">
              <w:r w:rsidR="00B71A0F" w:rsidRPr="00A71BB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ru-RU"/>
                </w:rPr>
                <w:t xml:space="preserve"> подпункте 6.2 </w:t>
              </w:r>
            </w:hyperlink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настоящего пункта случаев реконструкции многоквартирного дома;</w:t>
            </w:r>
          </w:p>
          <w:p w:rsidR="00B71A0F" w:rsidRPr="00B71A0F" w:rsidRDefault="00382C18" w:rsidP="00382C1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Росатом</w:t>
            </w:r>
            <w:proofErr w:type="spell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", Государственной корпорацией по космической деятельности "</w:t>
            </w:r>
            <w:proofErr w:type="spell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Роскосмос</w:t>
            </w:r>
            <w:proofErr w:type="spell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proofErr w:type="gram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определяющее</w:t>
            </w:r>
            <w:proofErr w:type="gram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B71A0F" w:rsidRPr="00B71A0F" w:rsidRDefault="00D4024D" w:rsidP="00D4024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решение общего собрания собственников помещений и </w:t>
            </w:r>
            <w:proofErr w:type="spell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машино</w:t>
            </w:r>
            <w:proofErr w:type="spell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машино</w:t>
            </w:r>
            <w:proofErr w:type="spell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-мест в многоквартирном доме;</w:t>
            </w:r>
          </w:p>
          <w:p w:rsidR="00B71A0F" w:rsidRPr="00B71A0F" w:rsidRDefault="00D4024D" w:rsidP="00D4024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  <w:r w:rsidR="003A37C4"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B71A0F" w:rsidRPr="00B71A0F" w:rsidRDefault="00B71A0F" w:rsidP="00D4024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В целях внесения изменения в разрешение на строительство заявитель направляет в Администрацию </w:t>
            </w:r>
            <w:proofErr w:type="spellStart"/>
            <w:r w:rsidRPr="00B71A0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Лебяжьевского</w:t>
            </w:r>
            <w:proofErr w:type="spellEnd"/>
            <w:r w:rsidRPr="00B71A0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района уведомление, заявление о внесении изменений в разрешение на строительство. </w:t>
            </w:r>
          </w:p>
          <w:p w:rsidR="00B71A0F" w:rsidRPr="00B71A0F" w:rsidRDefault="00B71A0F" w:rsidP="0019312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Для принятия решения о внесении изменений в разрешение на строительство (за исключением случаев, предусмотренных частью 21.10 статьи 51 Градостроительного кодекса Российской Федерации, а также кроме случая подачи заявления о внесении изменений в разрешение на строительство исключительно в связи с продлением срока действия такого разрешения) необходимы </w:t>
            </w:r>
            <w:r w:rsidR="003A37C4"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вышеуказанные </w:t>
            </w: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документы.</w:t>
            </w:r>
          </w:p>
          <w:p w:rsidR="00B85632" w:rsidRPr="00A71BBB" w:rsidRDefault="00B71A0F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целях внесения изменения в разрешение на строительство в связи с необходимостью</w:t>
            </w:r>
            <w:proofErr w:type="gramEnd"/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продления срока действия разрешения на строительство, заявитель направляет в Администрацию </w:t>
            </w:r>
            <w:proofErr w:type="spellStart"/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Лебяжьевского</w:t>
            </w:r>
            <w:proofErr w:type="spellEnd"/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района только лишь заявление о внесении изменений в разрешение на строительство.</w:t>
            </w:r>
          </w:p>
          <w:p w:rsidR="00B71A0F" w:rsidRPr="00B71A0F" w:rsidRDefault="00B71A0F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В целях внесения изменений в разрешение на строительство в случаях, предусмотренных частью 21.10 статьи 51 Градостроительного кодекса Российской Федерации, заявитель обязан направить в Администрацию </w:t>
            </w:r>
            <w:proofErr w:type="spellStart"/>
            <w:r w:rsidRPr="00B71A0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Лебяжьевского</w:t>
            </w:r>
            <w:proofErr w:type="spellEnd"/>
            <w:r w:rsidRPr="00B71A0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района уведомление в письменной форме о переходе прав на земельные участки, права пользования недрами, об образовании земельного участка с указанием реквизитов:</w:t>
            </w:r>
          </w:p>
          <w:p w:rsidR="00B71A0F" w:rsidRPr="00B71A0F" w:rsidRDefault="00B71A0F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1) правоустанавливающих документов на земельные участки в случае, указанном в части 21.5 статьи 51 Градостроительного кодекса Российской Федерации (в случае если в Едином государственном реестре недвижимости не содержатся сведения о правоустанавливающих документах на земельный участок, копию таких документов обязано представить лицо, направляющее уведомление);</w:t>
            </w:r>
          </w:p>
          <w:p w:rsidR="00B71A0F" w:rsidRPr="00B71A0F" w:rsidRDefault="00B71A0F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2) 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:rsidR="00B71A0F" w:rsidRPr="00B71A0F" w:rsidRDefault="00B71A0F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      </w:r>
          </w:p>
          <w:p w:rsidR="00B71A0F" w:rsidRPr="00B71A0F" w:rsidRDefault="00B71A0F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Российской Федерации.</w:t>
            </w:r>
          </w:p>
          <w:p w:rsidR="00236378" w:rsidRPr="00A71BBB" w:rsidRDefault="00B71A0F" w:rsidP="00B8563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Уведомление о переходе прав на земельные участки, права пользования недрами, об образовании земельного участка и копии указанных документов могут быть представлены одновременно с заявлением о внесении изменений в разрешение на строительство.</w:t>
            </w:r>
          </w:p>
        </w:tc>
      </w:tr>
      <w:tr w:rsidR="00236378" w:rsidRPr="00236378" w:rsidTr="00FD7839">
        <w:trPr>
          <w:trHeight w:val="90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1A0F" w:rsidRPr="00A71BBB" w:rsidRDefault="001F3F8E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B71A0F" w:rsidRPr="00B71A0F" w:rsidRDefault="001F3F8E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в соответствии со </w:t>
            </w:r>
            <w:hyperlink r:id="rId8" w:anchor="dst100628" w:tgtFrame="_top" w:history="1">
              <w:r w:rsidR="00B71A0F" w:rsidRPr="00A71BBB">
                <w:rPr>
                  <w:rFonts w:ascii="Arial" w:eastAsia="Times New Roman" w:hAnsi="Arial" w:cs="Arial"/>
                  <w:color w:val="000000"/>
                  <w:sz w:val="21"/>
                  <w:szCs w:val="21"/>
                  <w:u w:val="single"/>
                  <w:shd w:val="clear" w:color="auto" w:fill="FFFFFF"/>
                  <w:lang w:eastAsia="ru-RU"/>
                </w:rPr>
                <w:t>статьей 40</w:t>
              </w:r>
            </w:hyperlink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Градостроительного кодекса Российской Федерации); </w:t>
            </w:r>
          </w:p>
          <w:p w:rsidR="00B71A0F" w:rsidRPr="00B71A0F" w:rsidRDefault="001F3F8E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      </w:r>
          </w:p>
          <w:p w:rsidR="00236378" w:rsidRPr="00A71BBB" w:rsidRDefault="001F3F8E" w:rsidP="001F3F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</w:t>
            </w:r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 </w:t>
            </w:r>
            <w:hyperlink r:id="rId9" w:anchor="dst1893" w:tgtFrame="_top" w:history="1">
              <w:r w:rsidR="00B71A0F" w:rsidRPr="00A71BBB">
                <w:rPr>
                  <w:rFonts w:ascii="Arial" w:eastAsia="Times New Roman" w:hAnsi="Arial" w:cs="Arial"/>
                  <w:color w:val="000000"/>
                  <w:sz w:val="21"/>
                  <w:szCs w:val="21"/>
                  <w:shd w:val="clear" w:color="auto" w:fill="FFFFFF"/>
                  <w:lang w:eastAsia="ru-RU"/>
                </w:rPr>
                <w:t>законодательством</w:t>
              </w:r>
            </w:hyperlink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 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="00B71A0F" w:rsidRPr="00B71A0F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ранее установленная зона с особыми условиями использовани</w:t>
            </w:r>
            <w:r w:rsidRPr="00A71BBB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я территории подлежит изменению.</w:t>
            </w: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7839" w:rsidRPr="00FD7839" w:rsidRDefault="00FD7839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783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1) Выдача разрешения на строительство, реконструкцию объе</w:t>
            </w:r>
            <w:r w:rsidR="001C0DD8"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ктов капитального строительства;</w:t>
            </w:r>
          </w:p>
          <w:p w:rsidR="00FD7839" w:rsidRPr="00FD7839" w:rsidRDefault="00FD7839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783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2) отказ в выдаче разрешения на строительство;</w:t>
            </w:r>
          </w:p>
          <w:p w:rsidR="00FD7839" w:rsidRPr="00FD7839" w:rsidRDefault="00FD7839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783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3) внесение изменений в разрешение на строительство;</w:t>
            </w:r>
          </w:p>
          <w:p w:rsidR="00FD7839" w:rsidRPr="00A71BBB" w:rsidRDefault="001C0DD8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4) </w:t>
            </w:r>
            <w:r w:rsidR="00FD7839"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отказ во внесение изменений в разрешение на строительство;</w:t>
            </w:r>
          </w:p>
          <w:p w:rsidR="00FD7839" w:rsidRPr="00FD7839" w:rsidRDefault="001C0DD8" w:rsidP="001C0DD8">
            <w:pPr>
              <w:spacing w:before="100" w:beforeAutospacing="1" w:after="0" w:line="240" w:lineRule="auto"/>
              <w:ind w:right="23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5) </w:t>
            </w:r>
            <w:r w:rsidR="00FD7839" w:rsidRPr="00FD783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уведомление о прекращении срока действия разрешения на строительство;</w:t>
            </w:r>
          </w:p>
          <w:p w:rsidR="00FD7839" w:rsidRPr="00FD7839" w:rsidRDefault="001C0DD8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6) </w:t>
            </w:r>
            <w:r w:rsidR="00FD7839" w:rsidRPr="00FD783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выдача повторного экземпляра (дубликата) разрешения на строительство.</w:t>
            </w:r>
          </w:p>
          <w:p w:rsidR="008E688F" w:rsidRPr="00A71BBB" w:rsidRDefault="008E688F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A71BBB" w:rsidRDefault="00102CB6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 рабочих дней </w:t>
            </w: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1BBB" w:rsidRDefault="001C0DD8" w:rsidP="0016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1B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предусмотрены</w:t>
            </w: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0DD8" w:rsidRPr="001C0DD8" w:rsidRDefault="001C0DD8" w:rsidP="001C0DD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0DD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Муниципальная услуга предоставляется без взимания государственной пошлины или иной платы.</w:t>
            </w:r>
          </w:p>
          <w:p w:rsidR="00236378" w:rsidRPr="00A71BB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1BBB" w:rsidRDefault="00236378" w:rsidP="0016168C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16168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1BBB" w:rsidRDefault="00B45934" w:rsidP="00B459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9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B459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Лебяжьевского</w:t>
            </w:r>
            <w:proofErr w:type="spellEnd"/>
            <w:r w:rsidRPr="00B459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16 декабря 2019 года № 524 «Об утверждении административного регламента предоставления Администрацией </w:t>
            </w:r>
            <w:proofErr w:type="spellStart"/>
            <w:r w:rsidRPr="00B459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Лебяжьевского</w:t>
            </w:r>
            <w:proofErr w:type="spellEnd"/>
            <w:r w:rsidRPr="00B459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муниципальной услуги по выдаче разрешения на строительство»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A57D2"/>
    <w:multiLevelType w:val="hybridMultilevel"/>
    <w:tmpl w:val="81F2B7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D12840"/>
    <w:multiLevelType w:val="multilevel"/>
    <w:tmpl w:val="CDCA6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102CB6"/>
    <w:rsid w:val="00144D6F"/>
    <w:rsid w:val="0016168C"/>
    <w:rsid w:val="00193122"/>
    <w:rsid w:val="001C0DD8"/>
    <w:rsid w:val="001F3F8E"/>
    <w:rsid w:val="00221FAD"/>
    <w:rsid w:val="00236378"/>
    <w:rsid w:val="00382C18"/>
    <w:rsid w:val="003A37C4"/>
    <w:rsid w:val="003A3CD0"/>
    <w:rsid w:val="004166E5"/>
    <w:rsid w:val="005173B8"/>
    <w:rsid w:val="005C54C1"/>
    <w:rsid w:val="006E607C"/>
    <w:rsid w:val="00755FD8"/>
    <w:rsid w:val="00775AF9"/>
    <w:rsid w:val="007A7FA2"/>
    <w:rsid w:val="008E688F"/>
    <w:rsid w:val="00A71BBB"/>
    <w:rsid w:val="00A744F2"/>
    <w:rsid w:val="00A752F9"/>
    <w:rsid w:val="00B45934"/>
    <w:rsid w:val="00B71A0F"/>
    <w:rsid w:val="00B85632"/>
    <w:rsid w:val="00BF750F"/>
    <w:rsid w:val="00CE11E1"/>
    <w:rsid w:val="00D4024D"/>
    <w:rsid w:val="00E00926"/>
    <w:rsid w:val="00E01D36"/>
    <w:rsid w:val="00EE7A91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755FD8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75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71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755FD8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75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71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549/91122874bbcf628c0e5c6bceb7fe613ee682fc7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04549/a7c2f5bf841aae38a03420067b02834b570686d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1443/8f7c0ce0195a7f4f0985d1ca3612eee1bc8114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5D95-A6EF-490F-8590-59FA9B89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</cp:revision>
  <cp:lastPrinted>2018-08-08T10:10:00Z</cp:lastPrinted>
  <dcterms:created xsi:type="dcterms:W3CDTF">2020-02-17T08:17:00Z</dcterms:created>
  <dcterms:modified xsi:type="dcterms:W3CDTF">2020-02-17T08:17:00Z</dcterms:modified>
</cp:coreProperties>
</file>