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774"/>
        <w:gridCol w:w="12588"/>
      </w:tblGrid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Департамент экономического развития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uppressAutoHyphens w:val="true"/>
              <w:spacing w:before="0" w:after="0"/>
              <w:contextualSpacing/>
              <w:jc w:val="both"/>
              <w:rPr/>
            </w:pPr>
            <w:r>
              <w:rPr>
                <w:rFonts w:eastAsia="Arial" w:cs="Arial" w:ascii="Arial" w:hAnsi="Arial"/>
                <w:color w:val="000000"/>
                <w:spacing w:val="-10"/>
                <w:sz w:val="24"/>
                <w:szCs w:val="24"/>
                <w:highlight w:val="white"/>
              </w:rPr>
              <w:t xml:space="preserve">Молодые семьи </w:t>
            </w:r>
            <w:r>
              <w:rPr>
                <w:rFonts w:eastAsia="Arial" w:cs="Arial" w:ascii="Arial" w:hAnsi="Arial"/>
                <w:color w:val="000000"/>
                <w:spacing w:val="-10"/>
                <w:sz w:val="24"/>
                <w:szCs w:val="24"/>
              </w:rPr>
              <w:t>либо неполные семьи, состоящие из одного молодого родителя, возраст которого не превышает 35 л</w:t>
            </w:r>
            <w:r>
              <w:rPr>
                <w:rFonts w:eastAsia="Arial" w:cs="Arial" w:ascii="Arial" w:hAnsi="Arial"/>
                <w:color w:val="000000"/>
                <w:spacing w:val="-10"/>
                <w:sz w:val="24"/>
                <w:szCs w:val="24"/>
                <w:highlight w:val="white"/>
              </w:rPr>
              <w:t>ет, и одного и более детей;</w:t>
            </w:r>
          </w:p>
          <w:p>
            <w:pPr>
              <w:pStyle w:val="Normal"/>
              <w:suppressAutoHyphens w:val="true"/>
              <w:spacing w:before="0" w:after="0"/>
              <w:contextualSpacing/>
              <w:jc w:val="both"/>
              <w:rPr/>
            </w:pPr>
            <w:r>
              <w:rPr>
                <w:rFonts w:eastAsia="Arial" w:cs="Arial" w:ascii="Arial" w:hAnsi="Arial"/>
                <w:color w:val="000000"/>
                <w:spacing w:val="-10"/>
                <w:sz w:val="24"/>
                <w:szCs w:val="24"/>
                <w:highlight w:val="white"/>
              </w:rPr>
              <w:t>М</w:t>
            </w:r>
            <w:r>
              <w:rPr>
                <w:rFonts w:eastAsia="Arial" w:cs="Arial" w:ascii="Arial" w:hAnsi="Arial"/>
                <w:color w:val="000000"/>
                <w:spacing w:val="-10"/>
                <w:sz w:val="24"/>
                <w:szCs w:val="24"/>
                <w:highlight w:val="white"/>
              </w:rPr>
              <w:t xml:space="preserve">ногодетные семьи, граждане </w:t>
            </w:r>
            <w:r>
              <w:rPr>
                <w:rFonts w:eastAsia="Arial" w:cs="Arial" w:ascii="Arial" w:hAnsi="Arial"/>
                <w:color w:val="000000"/>
                <w:spacing w:val="-10"/>
                <w:sz w:val="24"/>
                <w:szCs w:val="24"/>
              </w:rPr>
              <w:t>проживающие в сельских поселениях, находящихся на территории Курганской области, для строительства и приобретения индивидуальных жилых домов в сельских поселениях Курганской области, а также для приобретения квартир в строящихся и во вновь введенных в эксплуатацию многоквартирных жилых домах в сельских поселениях Курганской области;</w:t>
            </w:r>
          </w:p>
          <w:p>
            <w:pPr>
              <w:pStyle w:val="Normal"/>
              <w:suppressAutoHyphens w:val="true"/>
              <w:spacing w:before="0" w:after="0"/>
              <w:contextualSpacing/>
              <w:jc w:val="both"/>
              <w:rPr/>
            </w:pPr>
            <w:r>
              <w:rPr>
                <w:rFonts w:eastAsia="Arial" w:cs="Arial" w:ascii="Arial" w:hAnsi="Arial"/>
                <w:color w:val="000000"/>
                <w:spacing w:val="-10"/>
                <w:sz w:val="24"/>
                <w:szCs w:val="24"/>
                <w:highlight w:val="white"/>
              </w:rPr>
              <w:t>М</w:t>
            </w:r>
            <w:r>
              <w:rPr>
                <w:rFonts w:eastAsia="Arial" w:cs="Arial" w:ascii="Arial" w:hAnsi="Arial"/>
                <w:color w:val="000000"/>
                <w:spacing w:val="-10"/>
                <w:sz w:val="24"/>
                <w:szCs w:val="24"/>
                <w:highlight w:val="white"/>
              </w:rPr>
              <w:t>едицинские работники медици</w:t>
            </w:r>
            <w:r>
              <w:rPr>
                <w:rFonts w:eastAsia="Arial" w:cs="Arial" w:ascii="Arial" w:hAnsi="Arial"/>
                <w:color w:val="000000"/>
                <w:spacing w:val="-10"/>
                <w:sz w:val="24"/>
                <w:szCs w:val="24"/>
              </w:rPr>
              <w:t>нских организаций государственной системы здравоохранения и муниципальной системы здравоохранения, расположенных на территории Курганской области, и педагогические работники государственных и муниципальных образовательных организаций, расположенных на территории Курганской области (</w:t>
            </w:r>
            <w:r>
              <w:rPr>
                <w:rFonts w:eastAsia="Arial" w:cs="Arial" w:ascii="Arial" w:hAnsi="Arial"/>
                <w:color w:val="000000"/>
                <w:spacing w:val="-10"/>
                <w:sz w:val="24"/>
                <w:szCs w:val="24"/>
              </w:rPr>
              <w:t xml:space="preserve">Приложение - </w:t>
            </w:r>
            <w:r>
              <w:rPr>
                <w:rFonts w:eastAsia="Arial" w:cs="Arial" w:ascii="Arial" w:hAnsi="Arial"/>
                <w:color w:val="000000"/>
                <w:spacing w:val="-10"/>
                <w:sz w:val="24"/>
                <w:szCs w:val="24"/>
              </w:rPr>
              <w:t>работники бюджетных организаций, а также семьи, в которых один или оба супруга являются работниками бюджетных организаций, нуждающиеся в улучшении жилищных условий</w:t>
            </w:r>
            <w:r>
              <w:rPr>
                <w:rFonts w:eastAsia="Arial" w:cs="Arial" w:ascii="Arial" w:hAnsi="Arial"/>
                <w:color w:val="000000"/>
                <w:spacing w:val="-10"/>
                <w:sz w:val="24"/>
                <w:szCs w:val="24"/>
              </w:rPr>
              <w:t>).</w:t>
            </w:r>
          </w:p>
        </w:tc>
      </w:tr>
      <w:tr>
        <w:trPr/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Возмещение затрат на оплату первоначального взноса при ипотечном кредитовании в Курганской области</w:t>
            </w:r>
          </w:p>
        </w:tc>
      </w:tr>
      <w:tr>
        <w:trPr/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Акционерн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ым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 общество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м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 «Курганская ипотечно-жилищная корпорация» </w:t>
            </w:r>
          </w:p>
        </w:tc>
      </w:tr>
      <w:tr>
        <w:trPr>
          <w:trHeight w:val="548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Физические лица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Theme="minorHAnsi" w:cstheme="minorBidi" w:eastAsiaTheme="minorHAnsi" w:hAnsiTheme="minorHAnsi"/>
                <w:highlight w:val="white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highlight w:val="white"/>
                <w:lang w:eastAsia="ru-RU" w:bidi="ar-SA"/>
              </w:rPr>
              <w:t>1. Заявление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Theme="minorHAnsi" w:cstheme="minorBidi" w:eastAsiaTheme="minorHAnsi" w:hAnsiTheme="minorHAnsi"/>
                <w:highlight w:val="white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highlight w:val="white"/>
                <w:lang w:eastAsia="ru-RU" w:bidi="ar-SA"/>
              </w:rPr>
              <w:t>2. Согласие на обработку персональных данных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Theme="minorHAnsi" w:cstheme="minorBidi" w:eastAsiaTheme="minorHAnsi" w:hAnsiTheme="minorHAnsi"/>
                <w:highlight w:val="white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highlight w:val="white"/>
                <w:lang w:eastAsia="ru-RU" w:bidi="ar-SA"/>
              </w:rPr>
              <w:t xml:space="preserve">3. Паспорт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Theme="minorHAnsi" w:cstheme="minorBidi" w:eastAsiaTheme="minorHAnsi" w:hAnsiTheme="minorHAnsi"/>
                <w:highlight w:val="white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highlight w:val="white"/>
                <w:lang w:eastAsia="ru-RU" w:bidi="ar-SA"/>
              </w:rPr>
              <w:t xml:space="preserve">4. ИНН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Theme="minorHAnsi" w:cstheme="minorBidi" w:eastAsiaTheme="minorHAnsi" w:hAnsiTheme="minorHAnsi"/>
                <w:highlight w:val="white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highlight w:val="white"/>
                <w:lang w:eastAsia="ru-RU" w:bidi="ar-SA"/>
              </w:rPr>
              <w:t xml:space="preserve">5. СНИЛС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Theme="minorHAnsi" w:cstheme="minorBidi" w:eastAsiaTheme="minorHAnsi" w:hAnsiTheme="minorHAnsi"/>
                <w:highlight w:val="white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highlight w:val="white"/>
                <w:lang w:eastAsia="ru-RU" w:bidi="ar-SA"/>
              </w:rPr>
              <w:t xml:space="preserve">6. Свидетельство о </w:t>
            </w:r>
            <w:r>
              <w:rPr>
                <w:rFonts w:eastAsia="Times New Roman" w:cs="Arial" w:ascii="Arial" w:hAnsi="Arial"/>
                <w:sz w:val="24"/>
                <w:szCs w:val="24"/>
                <w:highlight w:val="white"/>
                <w:lang w:eastAsia="ru-RU" w:bidi="ar-SA"/>
              </w:rPr>
              <w:t xml:space="preserve">заключении (расторжении) </w:t>
            </w:r>
            <w:r>
              <w:rPr>
                <w:rFonts w:eastAsia="Times New Roman" w:cs="Arial" w:ascii="Arial" w:hAnsi="Arial"/>
                <w:sz w:val="24"/>
                <w:szCs w:val="24"/>
                <w:highlight w:val="white"/>
                <w:lang w:eastAsia="ru-RU" w:bidi="ar-SA"/>
              </w:rPr>
              <w:t>брак</w:t>
            </w:r>
            <w:r>
              <w:rPr>
                <w:rFonts w:eastAsia="Times New Roman" w:cs="Arial" w:ascii="Arial" w:hAnsi="Arial"/>
                <w:sz w:val="24"/>
                <w:szCs w:val="24"/>
                <w:highlight w:val="white"/>
                <w:lang w:eastAsia="ru-RU" w:bidi="ar-SA"/>
              </w:rPr>
              <w:t>а;</w:t>
            </w:r>
            <w:r>
              <w:rPr>
                <w:rFonts w:eastAsia="Times New Roman" w:cs="Arial" w:ascii="Arial" w:hAnsi="Arial"/>
                <w:sz w:val="24"/>
                <w:szCs w:val="24"/>
                <w:highlight w:val="white"/>
                <w:lang w:eastAsia="ru-RU" w:bidi="ar-SA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Theme="minorHAnsi" w:cstheme="minorBidi" w:eastAsiaTheme="minorHAnsi" w:hAnsiTheme="minorHAnsi"/>
                <w:highlight w:val="white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highlight w:val="white"/>
                <w:lang w:eastAsia="ru-RU" w:bidi="ar-SA"/>
              </w:rPr>
              <w:t xml:space="preserve">7. Свидетельство о рождении на супругу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Theme="minorHAnsi" w:cstheme="minorBidi" w:eastAsiaTheme="minorHAnsi" w:hAnsiTheme="minorHAnsi"/>
                <w:highlight w:val="white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highlight w:val="white"/>
                <w:lang w:eastAsia="ru-RU" w:bidi="ar-SA"/>
              </w:rPr>
              <w:t>8.Свидетельство о рождении (усыновлении) на детей, находящихся на иждивении, и с 14 лет – дополнительно паспорт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Theme="minorHAnsi" w:cstheme="minorBidi" w:eastAsiaTheme="minorHAnsi" w:hAnsiTheme="minorHAnsi"/>
                <w:highlight w:val="white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highlight w:val="white"/>
                <w:lang w:eastAsia="ru-RU" w:bidi="ar-SA"/>
              </w:rPr>
              <w:t xml:space="preserve">9. Справка из ЖКО (сельсовета, УК)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Theme="minorHAnsi" w:cstheme="minorBidi" w:eastAsiaTheme="minorHAnsi" w:hAnsiTheme="minorHAnsi"/>
                <w:highlight w:val="white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highlight w:val="white"/>
                <w:lang w:eastAsia="ru-RU" w:bidi="ar-SA"/>
              </w:rPr>
              <w:t>Обязательное приложение к справке: правоустанавливающие документы на квартиру (дом)</w:t>
            </w:r>
            <w:r>
              <w:rPr>
                <w:rFonts w:eastAsia="Times New Roman" w:cs="Arial" w:ascii="Arial" w:hAnsi="Arial"/>
                <w:i/>
                <w:sz w:val="24"/>
                <w:szCs w:val="24"/>
                <w:highlight w:val="white"/>
                <w:lang w:eastAsia="ru-RU" w:bidi="ar-SA"/>
              </w:rPr>
              <w:t>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highlight w:val="white"/>
                <w:lang w:eastAsia="ru-RU" w:bidi="ar-SA"/>
              </w:rPr>
              <w:t xml:space="preserve">10. Справка из ГБУ «Государственный центр кадастровой оценки и учета недвижимости» </w:t>
            </w:r>
            <w:r>
              <w:rPr>
                <w:rFonts w:cs="Arial" w:ascii="Arial" w:hAnsi="Arial"/>
                <w:sz w:val="24"/>
                <w:szCs w:val="24"/>
                <w:highlight w:val="white"/>
              </w:rPr>
              <w:t>на имевшиеся</w:t>
            </w:r>
            <w:r>
              <w:rPr>
                <w:rFonts w:cs="Arial" w:ascii="Arial" w:hAnsi="Arial"/>
                <w:sz w:val="24"/>
                <w:szCs w:val="24"/>
              </w:rPr>
              <w:t xml:space="preserve"> (имеющиеся) жилые помещения в собственности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Theme="minorHAnsi" w:cstheme="minorBidi" w:eastAsiaTheme="minorHAnsi" w:hAnsiTheme="minorHAnsi"/>
                <w:highlight w:val="white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highlight w:val="white"/>
                <w:lang w:eastAsia="ru-RU" w:bidi="ar-SA"/>
              </w:rPr>
              <w:t xml:space="preserve">11. Выписки из Единого государственного реестра прав на недвижимое имущество и сделок с ним о правах отдельного лица на имевшиеся (имеющиеся) у него жилые помещения за период с 01.10.1998 г. </w:t>
            </w:r>
            <w:r>
              <w:rPr>
                <w:rFonts w:eastAsia="Times New Roman" w:cs="Arial" w:ascii="Arial" w:hAnsi="Arial"/>
                <w:sz w:val="24"/>
                <w:szCs w:val="24"/>
                <w:highlight w:val="white"/>
                <w:lang w:eastAsia="ru-RU" w:bidi="ar-SA"/>
              </w:rPr>
              <w:t xml:space="preserve">и </w:t>
            </w:r>
            <w:r>
              <w:rPr>
                <w:rFonts w:eastAsia="Times New Roman" w:cs="Arial" w:ascii="Arial" w:hAnsi="Arial"/>
                <w:sz w:val="24"/>
                <w:szCs w:val="24"/>
                <w:highlight w:val="white"/>
                <w:lang w:eastAsia="ru-RU" w:bidi="ar-SA"/>
              </w:rPr>
              <w:t xml:space="preserve">по настоящее время) 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Theme="minorHAnsi" w:cstheme="minorBidi" w:eastAsiaTheme="minorHAnsi" w:hAnsiTheme="minorHAnsi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  <w:lang w:eastAsia="en-US" w:bidi="ar-SA"/>
              </w:rPr>
              <w:t>12. Договор приобретения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Theme="minorHAnsi" w:cstheme="minorBidi" w:eastAsiaTheme="minorHAnsi" w:hAnsiTheme="minorHAnsi"/>
                <w:highlight w:val="white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highlight w:val="white"/>
                <w:lang w:eastAsia="ru-RU" w:bidi="ar-SA"/>
              </w:rPr>
              <w:t xml:space="preserve">13. Кредитный договор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Theme="minorHAnsi" w:cstheme="minorBidi" w:eastAsiaTheme="minorHAnsi" w:hAnsiTheme="minorHAnsi"/>
                <w:highlight w:val="white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highlight w:val="white"/>
                <w:lang w:eastAsia="ru-RU" w:bidi="ar-SA"/>
              </w:rPr>
              <w:t xml:space="preserve">14. Финансовые документы подтверждающие полный расчет с застройщиком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highlight w:val="white"/>
                <w:lang w:eastAsia="ru-RU" w:bidi="ar-SA"/>
              </w:rPr>
              <w:t>15. Р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 w:bidi="ar-SA"/>
              </w:rPr>
              <w:t>еквизиты счет</w:t>
            </w:r>
            <w:bookmarkStart w:id="0" w:name="_GoBack"/>
            <w:bookmarkEnd w:id="0"/>
            <w:r>
              <w:rPr>
                <w:rFonts w:eastAsia="Times New Roman" w:cs="Arial" w:ascii="Arial" w:hAnsi="Arial"/>
                <w:sz w:val="24"/>
                <w:szCs w:val="24"/>
                <w:lang w:eastAsia="ru-RU" w:bidi="ar-SA"/>
              </w:rPr>
              <w:t>а Заявителя для перечисления субсидии.</w:t>
            </w:r>
          </w:p>
        </w:tc>
      </w:tr>
      <w:tr>
        <w:trPr>
          <w:trHeight w:val="673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Отсутствуют</w:t>
            </w:r>
          </w:p>
        </w:tc>
      </w:tr>
      <w:tr>
        <w:trPr>
          <w:trHeight w:val="583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Зачисление средств субсидии на  лицевой счет Заявителя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6"/>
                <w:szCs w:val="26"/>
              </w:rPr>
              <w:t>Срок рассмотрения заявления составляет от 2 до 5 календарных дней</w:t>
            </w:r>
          </w:p>
        </w:tc>
      </w:tr>
      <w:tr>
        <w:trPr>
          <w:trHeight w:val="839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Основанием для отказа в приеме заявления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Отсутс</w:t>
            </w:r>
            <w:r>
              <w:rPr>
                <w:rFonts w:ascii="Arial" w:hAnsi="Arial"/>
                <w:sz w:val="24"/>
                <w:szCs w:val="24"/>
              </w:rPr>
              <w:t>тв</w:t>
            </w:r>
            <w:r>
              <w:rPr>
                <w:rFonts w:ascii="Arial" w:hAnsi="Arial"/>
                <w:sz w:val="24"/>
                <w:szCs w:val="24"/>
              </w:rPr>
              <w:t>уют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Услуга предоставляется бесплатно</w:t>
            </w:r>
          </w:p>
        </w:tc>
      </w:tr>
      <w:tr>
        <w:trPr>
          <w:trHeight w:val="2093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keepNext w:val="false"/>
              <w:widowControl w:val="false"/>
              <w:spacing w:lineRule="auto" w:line="240" w:before="0" w:after="20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bCs w:val="false"/>
                <w:color w:val="auto"/>
                <w:sz w:val="24"/>
                <w:szCs w:val="24"/>
                <w:highlight w:val="white"/>
                <w:lang w:val="ru-RU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auto"/>
                <w:sz w:val="24"/>
                <w:szCs w:val="24"/>
                <w:highlight w:val="white"/>
                <w:lang w:val="ru-RU"/>
              </w:rPr>
              <w:t xml:space="preserve">Услуга предоставляется только в части приема заявления </w:t>
            </w:r>
            <w:r>
              <w:rPr>
                <w:rFonts w:eastAsia="Arial" w:cs="Arial" w:ascii="Arial" w:hAnsi="Arial"/>
                <w:b w:val="false"/>
                <w:bCs w:val="false"/>
                <w:color w:val="auto"/>
                <w:sz w:val="24"/>
                <w:szCs w:val="24"/>
                <w:highlight w:val="white"/>
                <w:lang w:val="ru-RU"/>
              </w:rPr>
              <w:t>и необходимых документов</w:t>
            </w:r>
          </w:p>
        </w:tc>
      </w:tr>
      <w:tr>
        <w:trPr>
          <w:trHeight w:val="1185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Постановление </w:t>
            </w:r>
            <w:r>
              <w:rPr>
                <w:rFonts w:ascii="Arial" w:hAnsi="Arial"/>
                <w:sz w:val="24"/>
                <w:szCs w:val="24"/>
              </w:rPr>
              <w:t>правительства Курганской области от26 сентября 2016 года №315 об утверждении государственной программы Курганской области «Развитие ипотечного жилищного кредитования в Курганской области»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Style15">
    <w:name w:val="Основной шрифт абзаца"/>
    <w:qFormat/>
    <w:rPr/>
  </w:style>
  <w:style w:type="character" w:styleId="Style16">
    <w:name w:val="Интернет-ссылка"/>
    <w:basedOn w:val="Style15"/>
    <w:rPr>
      <w:color w:val="0000FF"/>
      <w:u w:val="single"/>
    </w:rPr>
  </w:style>
  <w:style w:type="character" w:styleId="Style17">
    <w:name w:val="Посещённая гиперссылка"/>
    <w:basedOn w:val="Style15"/>
    <w:rPr>
      <w:color w:val="8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paragraph" w:styleId="Style25">
    <w:name w:val="Обычный (веб)"/>
    <w:basedOn w:val="Normal"/>
    <w:qFormat/>
    <w:pPr>
      <w:overflowPunct w:val="false"/>
      <w:spacing w:lineRule="auto" w:line="324" w:before="0" w:after="360"/>
      <w:textAlignment w:val="auto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Application>LibreOffice/6.2.2.2$Windows_X86_64 LibreOffice_project/2b840030fec2aae0fd2658d8d4f9548af4e3518d</Application>
  <Pages>2</Pages>
  <Words>357</Words>
  <Characters>2574</Characters>
  <CharactersWithSpaces>2900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2019-11-27T16:40:47Z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