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Администрация города Кургана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3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Физические и юридические лица</w:t>
            </w:r>
          </w:p>
        </w:tc>
      </w:tr>
      <w:tr>
        <w:trPr>
          <w:trHeight w:val="6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PT Astra Serif;Times New Roman" w:ascii="Arial" w:hAnsi="Arial"/>
                <w:sz w:val="22"/>
                <w:szCs w:val="22"/>
              </w:rPr>
              <w:t>Департамент архитектуры, строительства и земельных отношений Администрации города Кургана</w:t>
            </w:r>
          </w:p>
        </w:tc>
      </w:tr>
      <w:tr>
        <w:trPr>
          <w:trHeight w:val="84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highlight w:val="white"/>
              </w:rPr>
            </w:pPr>
            <w:r>
              <w:rPr>
                <w:rFonts w:cs="PT Astra Serif;Times New Roman" w:ascii="Arial" w:hAnsi="Arial"/>
                <w:sz w:val="22"/>
                <w:szCs w:val="22"/>
                <w:highlight w:val="white"/>
                <w:lang w:eastAsia="ar-SA"/>
              </w:rPr>
              <w:t xml:space="preserve">Застройщики - физические или юридические лица, обеспечивающие на принадлежащем им земельном участке строительство, реконструкцию объекта индивидуального жилищного строительства или садового дома. </w:t>
            </w:r>
          </w:p>
          <w:p>
            <w:pPr>
              <w:pStyle w:val="Normal"/>
              <w:spacing w:lineRule="auto" w:line="240" w:beforeAutospacing="1" w:after="0"/>
              <w:ind w:left="0" w:hanging="0"/>
              <w:jc w:val="both"/>
              <w:rPr>
                <w:rFonts w:ascii="Arial" w:hAnsi="Arial" w:cs="" w:cstheme="minorBidi"/>
                <w:sz w:val="22"/>
                <w:szCs w:val="22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color w:val="000000"/>
                <w:sz w:val="22"/>
                <w:szCs w:val="22"/>
                <w:highlight w:val="white"/>
                <w:lang w:eastAsia="ru-RU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8"/>
              <w:ind w:firstLine="540"/>
              <w:jc w:val="both"/>
              <w:rPr/>
            </w:pPr>
            <w:r>
              <w:rPr>
                <w:rFonts w:cs="PT Astra Serif;Times New Roman" w:ascii="Arial" w:hAnsi="Arial"/>
                <w:sz w:val="22"/>
                <w:szCs w:val="22"/>
                <w:highlight w:val="white"/>
                <w:u w:val="none"/>
              </w:rPr>
              <w:t>1) У</w:t>
            </w:r>
            <w:r>
              <w:rPr>
                <w:rStyle w:val="Style15"/>
                <w:rFonts w:cs="PT Astra Serif;Times New Roman" w:ascii="Arial" w:hAnsi="Arial"/>
                <w:color w:val="000000"/>
                <w:sz w:val="22"/>
                <w:szCs w:val="22"/>
                <w:highlight w:val="white"/>
                <w:u w:val="none"/>
              </w:rPr>
              <w:t xml:space="preserve">ведомление  </w:t>
            </w:r>
            <w:r>
              <w:rPr>
                <w:rStyle w:val="Style15"/>
                <w:rFonts w:cs="PT Astra Serif" w:ascii="Arial" w:hAnsi="Arial"/>
                <w:color w:val="000000"/>
                <w:sz w:val="22"/>
                <w:szCs w:val="22"/>
                <w:highlight w:val="white"/>
                <w:u w:val="none"/>
              </w:rPr>
              <w:t>о соответствии построенных или реконструированных объекта индивидуального жилищного строительства или садового дома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>2) Заверенный перевод на русский язык документов о государственной регистрации юридического лица (в случае, если застройщиком является иностранное юридическое лицо);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>3) Технический план объекта индивидуального жилищного строительства или садового дома (подготовленный в соответствии с Федеральным законом от 13.07.2015 г. № 218-ФЗ «О государственной регистрации недвижимости»);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 xml:space="preserve">4) Сведения об оплате государственной пошлины за осуществление государственной регистрации прав на недвижимое имущество*; 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арендатора**.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г. №210-ФЗ,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 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color w:val="C9211E"/>
                <w:sz w:val="22"/>
                <w:szCs w:val="22"/>
                <w:highlight w:val="white"/>
              </w:rPr>
              <w:t>*</w:t>
            </w: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 xml:space="preserve"> В силу статьи 25 Федерального закона № 218-ФЗ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в том числе,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заявителем.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 xml:space="preserve">Во избежание случаев, связанных с возвратом документов без рассмотрения по причине не нахождения органом регистрации прав информации об уплате государственной пошлины в Государственной информационной системе о государственных и муниципальных платежах, в уведомлении об окончании строительства или реконструкции объекта ИЖС или садового дома в дополнение к реквизитам платежного документа рекомендуем указывать, в том числе наименование, даты платежа и уникального номера платежа (указанного в платежном документе), суммы платежа, либо прикладывать к уведомлению об окончании строительства копию платежного документа, в том числе распечатку подтверждения электронного платежа (кассовый чек).  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color w:val="C9211E"/>
                <w:sz w:val="22"/>
                <w:szCs w:val="22"/>
                <w:highlight w:val="white"/>
              </w:rPr>
              <w:t>**</w:t>
            </w: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 xml:space="preserve"> В соответствии с п. 1 ст. 33 Семейного кодекса РФ законным режимом имущества супругов является режим их совместной собственности.</w:t>
            </w:r>
          </w:p>
          <w:p>
            <w:pPr>
              <w:pStyle w:val="Style18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>Законный режим имущества супругов действует, если брачным договором не установлено иное. Согласно п. 1 ст. 34 Семейного кодекса РФ имущество, нажитое супругами во время брака, является их совместной собственностью.</w:t>
            </w:r>
          </w:p>
          <w:p>
            <w:pPr>
              <w:pStyle w:val="Style18"/>
              <w:spacing w:before="0" w:after="140"/>
              <w:ind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sz w:val="22"/>
                <w:szCs w:val="22"/>
                <w:highlight w:val="white"/>
              </w:rPr>
              <w:t>Согласно ст. 38 СК РФ общее имущество супругов может быть разделено между супругами по их соглашению. Документ о разделе общего имущества супругов, нажитого в период брака, с определением натуральной величины или долей должен быть нотариально удостоверен.</w:t>
            </w:r>
          </w:p>
        </w:tc>
      </w:tr>
      <w:tr>
        <w:trPr>
          <w:trHeight w:val="67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Cs/>
                <w:color w:val="000000"/>
                <w:sz w:val="22"/>
                <w:szCs w:val="22"/>
                <w:lang w:eastAsia="ar-SA"/>
              </w:rPr>
              <w:t>Отсутствуют</w:t>
            </w:r>
          </w:p>
        </w:tc>
      </w:tr>
      <w:tr>
        <w:trPr>
          <w:trHeight w:val="1904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ind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cs="PT Astra Serif" w:ascii="Arial" w:hAnsi="Arial"/>
                <w:sz w:val="22"/>
                <w:szCs w:val="22"/>
                <w:highlight w:val="white"/>
              </w:rPr>
              <w:t xml:space="preserve">Результатом предоставления муниципальной услуги является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8"/>
              <w:spacing w:lineRule="auto" w:line="240" w:before="0" w:after="0"/>
              <w:ind w:firstLine="540"/>
              <w:jc w:val="both"/>
              <w:rPr>
                <w:rFonts w:ascii="Arial" w:hAnsi="Arial"/>
              </w:rPr>
            </w:pP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Срок предоставления муниципальной услуги </w:t>
            </w:r>
            <w:r>
              <w:rPr>
                <w:rFonts w:eastAsia="Times New Roman" w:cs="PT Astra Serif;Times New Roman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не более 7 рабочих дней</w:t>
            </w:r>
            <w:r>
              <w:rPr>
                <w:rFonts w:eastAsia="Times New Roman" w:cs="PT Astra Serif;Times New Roman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со дня передачи МФЦ документов в Департамент </w:t>
            </w:r>
          </w:p>
        </w:tc>
      </w:tr>
      <w:tr>
        <w:trPr>
          <w:trHeight w:val="5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  <w:p>
            <w:pPr>
              <w:pStyle w:val="Style18"/>
              <w:spacing w:lineRule="auto" w:line="240" w:before="0" w:after="0"/>
              <w:ind w:left="0" w:hanging="0"/>
              <w:contextualSpacing/>
              <w:jc w:val="both"/>
              <w:rPr>
                <w:rFonts w:ascii="Calibri" w:hAnsi="Calibri" w:eastAsia="Calibri" w:cs="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754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PT Astra Serif;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PT Astra Serif;Times New Roman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Постановление Администрации города Кургана от 06.05.2019 г. № 2743 «Об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 «Подготовка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Посещённая гиперссылка"/>
    <w:basedOn w:val="Style14"/>
    <w:rPr>
      <w:color w:val="800080"/>
      <w:u w:val="single"/>
    </w:rPr>
  </w:style>
  <w:style w:type="character" w:styleId="ListLabel19">
    <w:name w:val="ListLabel 19"/>
    <w:qFormat/>
    <w:rPr>
      <w:rFonts w:ascii="Arial" w:hAnsi="Arial" w:cs="PT Astra Serif;Times New Roman"/>
      <w:sz w:val="22"/>
      <w:szCs w:val="22"/>
      <w:highlight w:val="yellow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LibreOffice/6.2.2.2$Windows_X86_64 LibreOffice_project/2b840030fec2aae0fd2658d8d4f9548af4e3518d</Application>
  <Pages>3</Pages>
  <Words>688</Words>
  <Characters>5193</Characters>
  <CharactersWithSpaces>5853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2019-08-02T09:12:19Z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