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Подготовка 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Администрации города Кургана от 06.05.2019 г. № 2743 «Об утверждении Административного регламента предоставления Департаментом архитектуры, строительства и земельных отношений Администрации города Кургана муниципальной услуги «Подготовка 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(в ред. ПАГ от 21.04.2020 N 2351, от 27.04.2022 N 2714) 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</w:t>
            </w:r>
            <w:r>
              <w:rPr>
                <w:rFonts w:cs="Arial" w:ascii="Arial" w:hAnsi="Arial"/>
                <w:sz w:val="20"/>
                <w:szCs w:val="20"/>
              </w:rPr>
              <w:t>ей</w:t>
            </w:r>
            <w:r>
              <w:rPr>
                <w:rFonts w:cs="Arial" w:ascii="Arial" w:hAnsi="Arial"/>
                <w:sz w:val="20"/>
                <w:szCs w:val="20"/>
              </w:rPr>
              <w:t xml:space="preserve"> города Кургана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Департамент архитектуры, строительства и земельных отношений Администрации города Кургана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тдел организации строительства и связи, г. Курган, ул. Пушкина, д. 83/1, кабинет № 14 , 42-86-80, доб. 639, 640; 42-86-82, доб. 64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Часы работы: </w:t>
            </w:r>
            <w:r>
              <w:rPr>
                <w:rFonts w:eastAsia="Calibri" w:cs="" w:ascii="Arial" w:hAnsi="Arial" w:cstheme="minorBidi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Пн -Пт </w:t>
            </w:r>
            <w:r>
              <w:rPr>
                <w:rFonts w:ascii="Arial" w:hAnsi="Arial"/>
                <w:sz w:val="20"/>
                <w:szCs w:val="20"/>
              </w:rPr>
              <w:t xml:space="preserve">с 8-30 ч. до 17-30 ч., обед с 12-00 ч. до 13-00 ч.  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PT Astra Serif" w:ascii="Arial" w:hAnsi="Arial" w:eastAsiaTheme="minorHAnsi"/>
                <w:b/>
                <w:bCs/>
                <w:color w:val="000000"/>
                <w:sz w:val="20"/>
                <w:szCs w:val="20"/>
                <w:lang w:eastAsia="ru-RU"/>
              </w:rPr>
              <w:t>застройщики</w:t>
            </w:r>
            <w:r>
              <w:rPr>
                <w:rFonts w:eastAsia="Calibri" w:cs="PT Astra Serif" w:ascii="Arial" w:hAnsi="Arial" w:eastAsiaTheme="minorHAnsi"/>
                <w:color w:val="000000"/>
                <w:sz w:val="20"/>
                <w:szCs w:val="20"/>
                <w:lang w:eastAsia="ru-RU"/>
              </w:rPr>
              <w:t xml:space="preserve"> – физические или юридические лица, обеспечивающие на принадлежащем им земельном участке строительство, реконструкцию объекта индивидуального жилищного строительства или садового дома, либо их уполномоченные представители.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уведомление по форме, согласно приложению 1 к настоящему Административному регламенту, содержащее следующие сведения: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фамилия, имя, отчество (при наличии), место жительства застройщика, реквизиты документа, удостоверяющего личность (для физического лица);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кадастровый номер земельного участка (при его наличии), адрес или описание местоположения земельного участка;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сведения о праве застройщика на земельный участок, а также сведения о наличии прав иных лиц на земельный участок (при наличии таких лиц);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почтовый адрес и (или) адрес электронной почты для связи с застройщиком;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сведения о параметрах построенных или реконструированных объекта индивидуального жилищного строительства или садового дома;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сведения об оплате государственной пошлины за осуществление государственной регистрации прав на недвижимое имущество*;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сведения о способе направления застройщику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Уведомление об окончании строительства или реконструкции объекта индивидуального жилищного строительства или садового дома подается в срок не позднее одного месяца со дня окончания строительства или реконструкции объекта индивидуального жилищного строительства или садового дома;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b w:val="false"/>
                <w:bCs w:val="false"/>
                <w:sz w:val="20"/>
                <w:szCs w:val="20"/>
              </w:rPr>
              <w:t xml:space="preserve">4) технический план объекта индивидуального жилищного строительства или садового дома </w:t>
            </w:r>
            <w:r>
              <w:rPr>
                <w:rFonts w:cs="PT Astra Serif" w:ascii="Arial" w:hAnsi="Arial"/>
                <w:b w:val="false"/>
                <w:sz w:val="20"/>
                <w:szCs w:val="20"/>
              </w:rPr>
              <w:t>подготовленный в соответствии с Федеральным законом от 13.07.2015 г. № 218-ФЗ «О государственной регистрации недвижимости»;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арендатора**.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г. №210-ФЗ, дополнительно предоставляет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 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В силу статьи 25 Федерального закона № 218-ФЗ орган регистрации прав обязан возвратить заявление о государственном кадастровом учете и (или) государственной регистрации прав и документы, прилагаемые к нему, без рассмотрения, в том числе, если информация об уплате государственной пошлины за  осуществление государственной регистрации прав по истечении пяти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заявителем.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PT Astra Serif"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sz w:val="20"/>
                <w:szCs w:val="20"/>
              </w:rPr>
              <w:t>Во избежание случаев, связанных с возвратом документов без рассмотрения по причине не нахождения органом регистрации прав информации об уплате государственной пошлины в Государственной информационной системе о государственных и муниципальных платежах, в уведомлении об окончании строительства или реконструкции объекта ИЖС или садового дома в дополнение к реквизитам платежного документа рекомендуем указывать, в том числе наименование, даты платежа и уникального номера платежа (указанного в платежном документе), суммы платежа, либо прикладывать к уведомлению об окончании строительства копию платежного документа, в том числе распечатку подтверждения электронного платежа (кассовый чек).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** В соответствии с п. 1 ст. 33 Семейного кодекса РФ законным режимом имущества супругов является режим их совместной собственности.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Законный режим имущества супругов действует, если брачным договором не установлено иное. Согласно п. 1 ст. 34 Семейного кодекса РФ имущество, нажитое супругами во время брака, является их совместной собственностью.</w:t>
            </w:r>
          </w:p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Согласно ст. 38 СК РФ общее имущество супругов может быть разделено между супругами по их соглашению. Документ о разделе общего имущества супругов, нажитого  в период брака, с определением натуральной величины или долей должен быть нотариально удостоверен.</w:t>
            </w:r>
          </w:p>
        </w:tc>
      </w:tr>
      <w:tr>
        <w:trPr>
          <w:trHeight w:val="67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</w:tr>
      <w:tr>
        <w:trPr>
          <w:trHeight w:val="1184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</w:rPr>
              <w:t xml:space="preserve">1) </w:t>
            </w:r>
            <w:r>
              <w:rPr>
                <w:rFonts w:cs="Times New Roman" w:ascii="Arial" w:hAnsi="Arial"/>
                <w:sz w:val="20"/>
                <w:szCs w:val="20"/>
              </w:rPr>
              <w:t>направление заявителю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</w:rPr>
              <w:t>2)</w:t>
            </w:r>
            <w:r>
              <w:rPr>
                <w:rFonts w:cs="Times New Roman" w:ascii="Arial" w:hAnsi="Arial"/>
                <w:sz w:val="20"/>
                <w:szCs w:val="20"/>
              </w:rPr>
              <w:t xml:space="preserve">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Н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е более 7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дома. </w:t>
            </w:r>
          </w:p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>
          <w:trHeight w:val="52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Муниципальная услуга предоставляется бесплатно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center"/>
        <w:rPr>
          <w:rFonts w:ascii="PT Astra Serif" w:hAnsi="PT Astra Serif" w:cs="PT Astra Serif"/>
          <w:b w:val="false"/>
          <w:b w:val="false"/>
          <w:sz w:val="22"/>
          <w:szCs w:val="22"/>
        </w:rPr>
      </w:pPr>
      <w:r>
        <w:rPr/>
      </w:r>
    </w:p>
    <w:sectPr>
      <w:type w:val="nextPage"/>
      <w:pgSz w:orient="landscape" w:w="16838" w:h="11906"/>
      <w:pgMar w:left="450" w:right="455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Style17"/>
    <w:next w:val="Style18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basedOn w:val="Style14"/>
    <w:rPr>
      <w:color w:val="0000FF"/>
      <w:u w:val="single"/>
    </w:rPr>
  </w:style>
  <w:style w:type="character" w:styleId="Style16">
    <w:name w:val="Посещённая гиперссылка"/>
    <w:basedOn w:val="Style14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/>
    <w:rPr/>
  </w:style>
  <w:style w:type="paragraph" w:styleId="Style23">
    <w:name w:val="Заголовок таблицы"/>
    <w:basedOn w:val="Style22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Application>LibreOffice/7.0.4.2$Windows_X86_64 LibreOffice_project/dcf040e67528d9187c66b2379df5ea4407429775</Application>
  <AppVersion>15.0000</AppVersion>
  <DocSecurity>0</DocSecurity>
  <Pages>4</Pages>
  <Words>994</Words>
  <Characters>7307</Characters>
  <CharactersWithSpaces>8264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2024-09-10T16:47:24Z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