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О</w:t>
            </w: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беспечени</w:t>
            </w: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е</w:t>
            </w: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 xml:space="preserve"> протезно-ортопедическими изделиями отдельных категорий граждан в Курганской области.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cs="Arial" w:ascii="ArialMT" w:hAnsi="ArialMT"/>
                <w:b w:val="false"/>
                <w:bCs w:val="false"/>
                <w:sz w:val="24"/>
                <w:szCs w:val="24"/>
                <w:highlight w:val="white"/>
              </w:rPr>
              <w:t xml:space="preserve">ГКУ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Главного Управления социальной защиты населения</w:t>
            </w:r>
          </w:p>
        </w:tc>
      </w:tr>
      <w:tr>
        <w:trPr>
          <w:trHeight w:val="131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Theme="minorHAnsi" w:cstheme="minorBidi" w:eastAsiaTheme="minorHAnsi" w:hAnsiTheme="minorHAnsi"/>
                <w:b/>
                <w:b/>
                <w:bCs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b/>
                <w:bCs/>
                <w:sz w:val="24"/>
                <w:highlight w:val="white"/>
              </w:rPr>
              <w:t>Государственная услуга предоставляется гражданам, нуждающимся в протезно-ортопедических изделиях по медицинским показаниям согласно заключению врачебной комиссии медицинской организации:</w:t>
            </w:r>
          </w:p>
          <w:p>
            <w:pPr>
              <w:pStyle w:val="Normal"/>
              <w:jc w:val="left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1) дети-сироты и дети, оставшиеся без попечения родителей;</w:t>
            </w:r>
          </w:p>
          <w:p>
            <w:pPr>
              <w:pStyle w:val="Normal"/>
              <w:jc w:val="left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2) дети в возрасте до 18 лет, проживающие в стационарных организациях социального обслуживания;</w:t>
            </w:r>
          </w:p>
          <w:p>
            <w:pPr>
              <w:pStyle w:val="Normal"/>
              <w:jc w:val="left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3) дети в возрасте до 18 лет, проживающие в семьях со среднедушевым доходом, размер которого составляет не более 200 процентов величины прожиточного минимума на душу населения, установленной в Курганской области;</w:t>
            </w:r>
          </w:p>
          <w:p>
            <w:pPr>
              <w:pStyle w:val="Normal"/>
              <w:jc w:val="left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4) граждане, среднедушевой доход семьи которых не превышает 150 процентов величины прожиточного минимума на душу населения, установленной в Курганской области.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Граждане, обеспечение которых протезно-ортопедическими изделиями производится в соответствии с федеральным законодательством, не имеют права на обеспечение протезно-ортопедическими изделиями.</w:t>
            </w:r>
          </w:p>
        </w:tc>
      </w:tr>
      <w:tr>
        <w:trPr>
          <w:trHeight w:val="8435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 w:cstheme="minorBidi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 xml:space="preserve">1) 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заявление об обеспечении протезно-ортопедическим издели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я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м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и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;</w:t>
            </w:r>
          </w:p>
          <w:p>
            <w:pPr>
              <w:pStyle w:val="Normal"/>
              <w:jc w:val="both"/>
              <w:rPr>
                <w:rFonts w:ascii="Arial" w:hAnsi="Arial" w:cstheme="minorBidi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2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) копи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я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 xml:space="preserve"> документа, удостоверяющего личность гражданина или законного представителя ребенка;</w:t>
            </w:r>
          </w:p>
          <w:p>
            <w:pPr>
              <w:pStyle w:val="Normal"/>
              <w:jc w:val="both"/>
              <w:rPr>
                <w:rFonts w:ascii="Arial" w:hAnsi="Arial" w:cstheme="minorBidi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3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) копи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я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 xml:space="preserve"> документа, удостоверяющего личность представителя гражданина, и документ, подтверждающий его 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право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 xml:space="preserve"> действовать от имени гражданина;</w:t>
            </w:r>
          </w:p>
          <w:p>
            <w:pPr>
              <w:pStyle w:val="Normal"/>
              <w:jc w:val="both"/>
              <w:rPr>
                <w:rFonts w:ascii="Arial" w:hAnsi="Arial" w:cstheme="minorBidi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3) копи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я</w:t>
            </w: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 xml:space="preserve"> заключения врачебной комиссии медицинской организации, подтверждающего наличие медицинских показаний для обеспечения протезно-ортопедическим изделием, с указанием его вида и модели;</w:t>
            </w:r>
          </w:p>
          <w:p>
            <w:pPr>
              <w:pStyle w:val="Normal"/>
              <w:jc w:val="both"/>
              <w:rPr>
                <w:rFonts w:ascii="Arial" w:hAnsi="Arial" w:cstheme="minorBidi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4) копию свидетельства о рождении;</w:t>
            </w:r>
          </w:p>
          <w:p>
            <w:pPr>
              <w:pStyle w:val="Normal"/>
              <w:jc w:val="both"/>
              <w:rPr>
                <w:rFonts w:ascii="Arial" w:hAnsi="Arial" w:cstheme="minorBidi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sz w:val="24"/>
                <w:szCs w:val="24"/>
                <w:highlight w:val="white"/>
              </w:rPr>
              <w:t>5) согласие на обработку персональных данных;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6)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документ органа опеки и попечительства, подтверждающий, что гражданин имеет статус ребенка-сироты, ребенка, оставшегося без попечения родителей.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7)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документ о нахождении ребенка в стационарной организации социального обслуживания.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8)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копия свидетельства о рождении ребенка (детей) — при наличии соответствующего факта;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9)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копия свидетельства о заключении брака - при наличии соответствующего факта;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10)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документ из соответствующего учреждения о месте нахождения супруга (супруги) (отбывает наказание, содержится под стражей, на принудительном лечении, направлен для прохождения судебно-медицинской экспертизы) в случае нахождения одного из супругов в соответствующем учреждении;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11)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документ, подтверждающий призыв супруга на военную службу, в случае прохождения супругом военной службы по призыву; справка из военной профессиональной образовательной организации или военной образовательной организации высшего образования об обучении в нейсупруга в случае его обучения в военной профессиональной образовательной организации или военной образовательной организации высшего образования;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12)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документ, подтверждающий, что сведения об отце ребенка внесены в свидетельство о рождении ребенка со слов матери, в случае обращения с заявлением одинокой матери;</w:t>
            </w:r>
          </w:p>
          <w:p>
            <w:pPr>
              <w:pStyle w:val="Normal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13)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выписка из решения органа опеки и попечительства об установлении над ребенком (детьми) опеки (попечительства), в том числе по договору о приемной семье, - при наличии соответствующего факта;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14)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документы, подтверждающие доход семьи за последние три месяца, предшествующие месяцу подачи заявления.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cstheme="minorBidi"/>
                <w:highlight w:val="white"/>
              </w:rPr>
            </w:pPr>
            <w:r>
              <w:rPr>
                <w:rFonts w:cs="" w:cstheme="minorBidi" w:ascii="Arial" w:hAnsi="Arial"/>
                <w:b w:val="false"/>
                <w:bCs w:val="false"/>
                <w:sz w:val="24"/>
                <w:szCs w:val="24"/>
                <w:highlight w:val="white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220" w:after="200"/>
              <w:jc w:val="both"/>
              <w:rPr/>
            </w:pPr>
            <w:r>
              <w:rPr>
                <w:rFonts w:ascii="ArialMT" w:hAnsi="ArialMT" w:cstheme="minorBidi"/>
                <w:sz w:val="24"/>
                <w:highlight w:val="white"/>
              </w:rPr>
              <w:t xml:space="preserve">Результатом предоставления государственной услуги является обеспечение </w:t>
            </w:r>
            <w:r>
              <w:rPr>
                <w:rFonts w:ascii="ArialMT" w:hAnsi="ArialMT"/>
                <w:sz w:val="24"/>
              </w:rPr>
              <w:t>протезно-ортопедическими изделиями либо отказ в обеспечении протезно-</w:t>
            </w:r>
            <w:r>
              <w:rPr>
                <w:rFonts w:ascii="ArialMT" w:hAnsi="ArialMT" w:cstheme="minorBidi"/>
                <w:sz w:val="24"/>
                <w:highlight w:val="white"/>
              </w:rPr>
              <w:t>ортопедическими изделиями.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 xml:space="preserve">Решение о предоставлении государственной услуги или об отказе в предоставлении государственной услуги принимается в течение </w:t>
            </w:r>
            <w:r>
              <w:rPr>
                <w:rFonts w:asciiTheme="minorHAnsi" w:cstheme="minorBidi" w:eastAsiaTheme="minorHAnsi" w:hAnsiTheme="minorHAnsi" w:ascii="ArialMT" w:hAnsi="ArialMT"/>
                <w:b/>
                <w:bCs/>
                <w:sz w:val="24"/>
                <w:highlight w:val="white"/>
              </w:rPr>
              <w:t>10 рабочих дней</w:t>
            </w: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 xml:space="preserve"> со дня регистрации заявления об обеспечении протезно-ортопедическим изделием и документов, указанных в пункте 16 настоящего Административного регламента.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 w:ascii="ArialMT" w:hAnsi="ArialMT"/>
                <w:sz w:val="24"/>
                <w:highlight w:val="white"/>
              </w:rPr>
              <w:t>Уведомление о предоставлении государственной услуги направляется гражданину в течение пяти рабочих дней со дня принятия решения о предоставлении государственной услуги по почте (по электронной почте). Уведомление об отказе в предоставлении государственной услуги направляется гражданину по почте в течение пяти рабочих дней со дня принятия решения о предоставлении государственной услуги с указанием причины отказа и порядка его обжалования.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Приказ Главного Управления социальной защиты населения Курганской области 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о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т 19.11.2018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г.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 № 531 г. 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о</w:t>
            </w:r>
            <w:r>
              <w:rPr>
                <w:rFonts w:asciiTheme="minorHAnsi" w:cstheme="minorBidi" w:eastAsiaTheme="minorHAnsi" w:hAnsiTheme="minorHAnsi" w:ascii="Arial" w:hAnsi="Arial"/>
                <w:b w:val="false"/>
                <w:bCs w:val="false"/>
                <w:sz w:val="24"/>
                <w:szCs w:val="24"/>
                <w:highlight w:val="white"/>
              </w:rPr>
              <w:t>б утверждении Административного регламента предоставления государственной услуги по обеспечению протезно-ортопедическими изделиями отдельных категорий граждан в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MT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LibreOffice/6.2.2.2$Windows_X86_64 LibreOffice_project/2b840030fec2aae0fd2658d8d4f9548af4e3518d</Application>
  <Pages>4</Pages>
  <Words>568</Words>
  <Characters>4304</Characters>
  <CharactersWithSpaces>4828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2019-07-26T15:34:29Z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