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Главное Управление социальной защиты населения</w:t>
            </w:r>
          </w:p>
        </w:tc>
      </w:tr>
      <w:tr>
        <w:trPr>
          <w:trHeight w:val="618" w:hRule="atLeast"/>
        </w:trPr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0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ascii="ArialMT" w:hAnsi="ArialMT"/>
                <w:sz w:val="24"/>
              </w:rPr>
              <w:t>Оформление и выдача удостоверений гражданам</w:t>
            </w:r>
            <w:r>
              <w:rPr>
                <w:rFonts w:ascii="Arial-BoldMT" w:hAnsi="Arial-BoldMT"/>
                <w:b/>
                <w:sz w:val="24"/>
              </w:rPr>
              <w:t xml:space="preserve">, </w:t>
            </w:r>
            <w:r>
              <w:rPr>
                <w:rFonts w:ascii="ArialMT" w:hAnsi="ArialMT"/>
                <w:sz w:val="24"/>
              </w:rPr>
              <w:t>получившим или перенесшим лучевую болезнь и другие заболевания, связанные с радиационным воздействием, инвалидам вследствие радиационных катастроф.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ascii="Arial" w:hAnsi="Arial"/>
                <w:sz w:val="24"/>
              </w:rPr>
              <w:t>Физические лица</w:t>
            </w:r>
          </w:p>
        </w:tc>
      </w:tr>
      <w:tr>
        <w:trPr>
          <w:trHeight w:val="760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Главное Управление социальной защиты населения</w:t>
            </w:r>
          </w:p>
        </w:tc>
      </w:tr>
      <w:tr>
        <w:trPr>
          <w:trHeight w:val="1367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1) </w:t>
            </w:r>
            <w:r>
              <w:rPr>
                <w:rFonts w:ascii="Arial" w:hAnsi="Arial"/>
                <w:sz w:val="24"/>
              </w:rP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2) инвалиды вследствие чернобыльской катастрофы из числа: 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 выехавших в добровольном порядке из указанных зон после принятия решения об эвакуации;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3) дети и подростки в возрасте до 18 лет, страдающим болезнями вследствие чернобыльской катастрофы или обусловленными генетическими последствиями радиоактивного облучения одного из родителей;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4) члены семьи,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инвалидов вследствие чернобыльской катастрофы;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5) граждане, получившие лучевую болезнь, другие заболевания, включенные в перечень заболеваний, возникновение или обострение которых обусловлены воздействием радиации из числа граждан, подвергшихся радиационному воздействию вследствие аварии в 1957 году на производственном объединении «Маяк» и сбросов радиоактивных отходов в реку Теча, из числа: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период с 29 сентября 1957 г. по 31 декабря 1961 г. непосредственное участие в работах по ликвидации последствий аварии в 1957 году на производственном объединении «Маяк»; занятых на работах по проведению защитных мероприятий и реабилитации радиоактивно загрязненных территорий вдоль реки Теча в период с 1 января 1949 г. по 31 декабря 1962 г.;граждан, эвакуированных (переселенных), а также добровольно выехавших из населенных пунктов (в том числе эвакуированных (переселенных) в пределах населенных пунктов, где эвакуация (переселение) проводилась частично), подвергшихся радиоактивному загрязнению вследствие аварии в 1957 году на производственном объединении «Маяк» и сбросов радиоактивных отходов в реку Теча, включая детей, в том числе детей, которые в момент эвакуации (переселения) находились в состоянии внутриутробного развития, а также военнослужащих, вольнонаемный состав войсковых частей и спецконтингент, эвакуированных в 1957 году из зоны радиоактивного загрязнения. К добровольно выехавшим относятся граждане, выехавшие с 29 сентября 1957 г. по 31 декабря 1960 г. включительно из населенных пунктов, подвергшихся радиоактивному загрязнению вследствие аварии в 1957 году на производственном объединении «Маяк»,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Теча; граждан, проживающих в населенных пунктах, подвергшихся радиоактивному загрязнению вследствие аварии в 1957 году на производственном объединении «Маяк»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местности); граждан, проживавших в 1949 - 1956 годах в населенных пунктах, подвергшихся радиоактивному загрязнению вследствие сбросов радиоактивных отходов в реку Теча, выехавших в добровольном порядке из указанных зон после принятия решения об эвакуации;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3) дети и подростки в возрасте до 18 лет, страдающие болезнями вследствие чернобыльской катастрофы или обусловленные генетическими последствиями радиоактивного облучения одного из родителей;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4) члены семьи,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инвалидов вследствие чернобыльской катастрофы;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4"/>
              </w:rPr>
              <w:t>5) граждане, получившие лучевую болезнь, другие заболевания, включенные в перечень заболеваний, возникновение или обострение которых обусловлены воздействием радиации из числа граждан, подвергшихся радиационному воздействию вследствие аварии в 1957 году на производственном объединении «Маяк» и сбросов радиоактивных отходов в реку Теча, из числа: гражде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период с 29 сентября 1957 г. по 31 декабря 1961 г. непосредственное участие в работах по ликвидации последствий аварии в 1957 году на производственном объединении «Маяк»; занятых на работах по проведению защитных мероприятий и реабилитации радиоактивно загрязненных территорий вдоль реки Теча в период с 1 января 1949 г. по 31 декабря 1962 г.;граждан, эвакуированных (переселенных), а также добровольно выехавших из населенных пунктов (в том числе эвакуированных (переселенных) в пределах населенных пунктов, где эвакуация (переселение) проводилась частично), подвергшиеся радиоактивному загрязнению вследствие аварии в 1957 году на производственном объединении «Маяк» и сбросов радиоактивных отходов в реку Теча, включая детей, в том числе детей, которые в момент эвакуации (переселения) находились в состоянии внутриутробного развития, а также военнослужащих, вольнонаемный состав войсковых частей и спецконтингент, эвакуированных в 1957 году из зоны радиоактивного загрязнения. К добровольно выехавшим относятся граждане, выехавшие с 29 сентября 1957 г. по 31 декабря 1960 г. включительно из населенных пунктов, подвергшихся радиоактивному загрязнению вследствие аварии в 1957 году на производственном объединении «Маяк»,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подвергшиеся радиоактивному загрязнению вследствие сбросов радиоактивных отходов в реку Теча; граждане, проживающие в населенных пунктах, подвергшихся радиоактивному загрязнению вследствие аварии в 1957 году на производственном объединении «Маяк»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местности); граждан, проживавших в 1949 - 1956 годах в населенных пунктах, подвергшихся радиоактивному загрязнению вследствие сбросов радиоактивных отходов в реку Теча, и получивших накопленную эффективную дозу облучения свыше 7 сЗв, или свыше 35 сЗв (бэр); граждане, добровольно выехавшие на новое место жительства из населенных пунктов, подвергшиеся радиоактивному загрязнению вследствие аварии в 1957 году на производственном объединении «Маяк»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местности).</w:t>
            </w:r>
          </w:p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Заявитель может обратиться за государственной услугой через законного представителя (доверенное лицо).</w:t>
            </w:r>
          </w:p>
        </w:tc>
      </w:tr>
      <w:tr>
        <w:trPr>
          <w:trHeight w:val="87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В случае первичного обращения за предоставлением государственной услуги:</w:t>
            </w:r>
          </w:p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1) письменное заявление;</w:t>
            </w:r>
          </w:p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2) паспорт гражданина Российской Федерации (для детей, не достигших 14-летнего возраста, - свидетельство о рождении);</w:t>
            </w:r>
          </w:p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3) удостоверение или справка установленного образца, подтверждающие факт проживания (прохождения военной или приравненной к ней службы) в зоне радиоактивного загрязнения, эвакуации или переселения из зоны радиоактивного загрязнения;</w:t>
            </w:r>
          </w:p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4) удостоверение установленного образца, подтверждающее факт участия в работах по ликвидации последствий катастрофы на Чернобыльской АЭС;</w:t>
            </w:r>
          </w:p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5) заключение межведомственного экспертного совета или военно-врачебной комиссии о причинной связи развившихся заболеваний и инвалидности с радиационным воздействием вследствие чернобыльской катастрофы или аварии в 1957 году на производственном объединении «Маяк» и сбросов радиоактивных отходов реку Теча;</w:t>
            </w:r>
          </w:p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6) справка федерального государственного учреждения медико-социальной экспертизы, подтверждающая факт установления инвалидности (для инвалидов).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Членам семьи, потерявшим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инвалидов вследствие чернобыльской катастрофы: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1) письменное заявление;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2</w:t>
            </w:r>
            <w:r>
              <w:rPr>
                <w:rFonts w:ascii="Arial" w:hAnsi="Arial"/>
                <w:sz w:val="24"/>
                <w:szCs w:val="24"/>
              </w:rPr>
              <w:t>) удостоверения умершего гражданина (при его утрате удостоверение выдается на основании первичных документов, имеющихся в личном деле умершего гражданина);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3</w:t>
            </w:r>
            <w:r>
              <w:rPr>
                <w:rFonts w:ascii="Arial" w:hAnsi="Arial"/>
                <w:sz w:val="24"/>
                <w:szCs w:val="24"/>
              </w:rPr>
              <w:t>) свидетельства о смерти;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4</w:t>
            </w:r>
            <w:r>
              <w:rPr>
                <w:rFonts w:ascii="Arial" w:hAnsi="Arial"/>
                <w:sz w:val="24"/>
                <w:szCs w:val="24"/>
              </w:rPr>
              <w:t>) свидетельства о браке;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5</w:t>
            </w:r>
            <w:r>
              <w:rPr>
                <w:rFonts w:ascii="Arial" w:hAnsi="Arial"/>
                <w:sz w:val="24"/>
                <w:szCs w:val="24"/>
              </w:rPr>
              <w:t>) паспорта гражданина Российской Федерации (для детей, не достигших 14- летнего возраста - свидетельства о рождении);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6</w:t>
            </w:r>
            <w:r>
              <w:rPr>
                <w:rFonts w:ascii="Arial" w:hAnsi="Arial"/>
                <w:sz w:val="24"/>
                <w:szCs w:val="24"/>
              </w:rPr>
              <w:t>) документов, подтверждающих факт совместного проживания (при необходимости).</w:t>
            </w:r>
          </w:p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16. В случае утраты (порчи) удостоверения:</w:t>
            </w:r>
          </w:p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1) письменное заявление;</w:t>
            </w:r>
          </w:p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Испорченное удостоверение сдается в Главное управление.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uppressAutoHyphens w:val="true"/>
              <w:spacing w:before="0" w:after="200"/>
              <w:ind w:hanging="0"/>
              <w:jc w:val="both"/>
              <w:rPr/>
            </w:pPr>
            <w:r>
              <w:rPr>
                <w:rFonts w:eastAsia="Times New Roman" w:cs="Arial" w:ascii="ArialMT" w:hAnsi="ArialMT"/>
                <w:bCs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ArialMT" w:hAnsi="ArialMT"/>
                <w:sz w:val="24"/>
              </w:rPr>
              <w:t xml:space="preserve"> случае утраты (порчи) удостоверения, заявитель вправе представить по собственной инициативе справку из органов внутренних дел, подтверждающую, что утраченное удостоверение не найдено.</w:t>
            </w:r>
          </w:p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ascii="ArialMT" w:hAnsi="ArialMT"/>
                <w:sz w:val="24"/>
              </w:rPr>
              <w:t>Непредставление заявителем указанной справки не является основанием для отказа в предоставлении заявителю государственной услуги.</w:t>
            </w:r>
          </w:p>
        </w:tc>
      </w:tr>
      <w:tr>
        <w:trPr>
          <w:trHeight w:val="1098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220" w:after="200"/>
              <w:jc w:val="both"/>
              <w:rPr/>
            </w:pPr>
            <w:r>
              <w:rPr>
                <w:rFonts w:ascii="ArialMT" w:hAnsi="ArialMT"/>
                <w:sz w:val="24"/>
              </w:rPr>
              <w:t>Конечным результатом предоставления государственной услуги является оформление и выдача удостоверения либо принятие решения об отказе в оформлении и выдаче удостоверения.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ascii="ArialMT" w:hAnsi="ArialMT"/>
                <w:sz w:val="24"/>
              </w:rPr>
              <w:t xml:space="preserve">Срок предоставления государственной услуги с момента поступления обращения гражданина в Главное управление за получением государственной услуги до принятия решения о выдаче (отказе в выдаче) удостоверения и направлении в Министерство труда и социальной защиты Российской Федерации заявки на выдачу бланка удостоверения составляет </w:t>
            </w:r>
            <w:r>
              <w:rPr>
                <w:rFonts w:ascii="ArialMT" w:hAnsi="ArialMT"/>
                <w:b/>
                <w:bCs/>
                <w:sz w:val="24"/>
              </w:rPr>
              <w:t>не более 30 дней</w:t>
            </w:r>
            <w:r>
              <w:rPr>
                <w:rFonts w:ascii="ArialMT" w:hAnsi="ArialMT"/>
                <w:sz w:val="24"/>
              </w:rPr>
              <w:t xml:space="preserve">; с момента поступления бланка удостоверения в Главное управление до момента выдачи гражданину удостоверения – </w:t>
            </w:r>
            <w:r>
              <w:rPr>
                <w:rFonts w:ascii="ArialMT" w:hAnsi="ArialMT"/>
                <w:b/>
                <w:bCs/>
                <w:sz w:val="24"/>
              </w:rPr>
              <w:t>не более 5 дней</w:t>
            </w:r>
            <w:r>
              <w:rPr>
                <w:rFonts w:ascii="ArialMT" w:hAnsi="ArialMT"/>
                <w:sz w:val="24"/>
              </w:rPr>
              <w:t>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>
        <w:trPr>
          <w:trHeight w:val="165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>
                <w:rFonts w:ascii="ArialMT" w:hAnsi="ArialMT"/>
                <w:sz w:val="24"/>
              </w:rPr>
              <w:t xml:space="preserve">   </w:t>
            </w:r>
            <w:r>
              <w:rPr>
                <w:rFonts w:ascii="ArialMT" w:hAnsi="ArialMT"/>
                <w:sz w:val="24"/>
              </w:rPr>
              <w:t>Уведомление о предоставлении государственной услуги направляется заявителю в пятидневный срок со дня принятия решения о предоставлении государственной услуги.</w:t>
            </w:r>
          </w:p>
          <w:p>
            <w:pPr>
              <w:pStyle w:val="Normal"/>
              <w:jc w:val="left"/>
              <w:rPr/>
            </w:pPr>
            <w:r>
              <w:rPr>
                <w:rFonts w:ascii="ArialMT" w:hAnsi="ArialMT"/>
                <w:sz w:val="24"/>
              </w:rPr>
              <w:t xml:space="preserve">   </w:t>
            </w:r>
            <w:r>
              <w:rPr>
                <w:rFonts w:ascii="ArialMT" w:hAnsi="ArialMT"/>
                <w:sz w:val="24"/>
              </w:rPr>
              <w:t>Уведомление об отказе в предоставлении государственной услуги направляется заявителю в пятидневный срок после принятия решения об отказе в предоставлении государственной услуги. В уведомлении об отказе в предоставлении государственной услуги указываются правовые основания такого отказа, а также прикладываются документы, представленные заявителем. Уведомление с приложением указанных документов направляется заявителю способом, позволяющим подтвердить факт и дату возврата.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1"/>
                <w:lang w:eastAsia="ru-RU"/>
              </w:rPr>
              <w:t xml:space="preserve">   </w:t>
            </w:r>
            <w:r>
              <w:rPr>
                <w:rFonts w:eastAsia="Times New Roman" w:cs="Arial" w:ascii="Arial" w:hAnsi="Arial"/>
                <w:color w:val="000000"/>
                <w:sz w:val="24"/>
                <w:szCs w:val="21"/>
                <w:lang w:eastAsia="ru-RU"/>
              </w:rPr>
              <w:t>Результат предоставления государственной услуги в МФЦ не выдается.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Приказ от 19.05.2016 г. №204 г.Курган об утверждении Административного регламента предоставления Главным управлением социальной защиты населения Курганской области государственной услуги по оформлению и выдаче удостоверений гражданам, получившим или перенесшим лучевую болезнь и другие заболевания, связанные с радиационным воздействием, инвалидам вследствие радиационных катастроф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MT">
    <w:charset w:val="cc"/>
    <w:family w:val="roman"/>
    <w:pitch w:val="variable"/>
  </w:font>
  <w:font w:name="Arial-BoldM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LibreOffice/6.2.2.2$Windows_X86_64 LibreOffice_project/2b840030fec2aae0fd2658d8d4f9548af4e3518d</Application>
  <Pages>6</Pages>
  <Words>1580</Words>
  <Characters>11345</Characters>
  <CharactersWithSpaces>12882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2019-07-24T11:50:38Z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