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2817"/>
      </w:tblGrid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83CC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83CCC" w:rsidRDefault="00AA06B2" w:rsidP="006806AE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D83CCC">
              <w:rPr>
                <w:rFonts w:ascii="Arial" w:hAnsi="Arial" w:cs="Arial"/>
                <w:color w:val="000000"/>
                <w:szCs w:val="22"/>
              </w:rPr>
              <w:t xml:space="preserve">Администрация </w:t>
            </w:r>
            <w:r w:rsidR="006806AE" w:rsidRPr="00D83CCC">
              <w:rPr>
                <w:rFonts w:ascii="Arial" w:hAnsi="Arial" w:cs="Arial"/>
                <w:color w:val="000000"/>
                <w:szCs w:val="22"/>
              </w:rPr>
              <w:t xml:space="preserve">Шумихинского района </w:t>
            </w:r>
          </w:p>
        </w:tc>
      </w:tr>
      <w:tr w:rsidR="00236378" w:rsidRPr="00236378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D83CCC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83CCC" w:rsidRDefault="00774E3D" w:rsidP="005C6928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D83CCC">
              <w:rPr>
                <w:rFonts w:ascii="Arial" w:hAnsi="Arial" w:cs="Arial"/>
                <w:color w:val="000000"/>
                <w:szCs w:val="22"/>
              </w:rPr>
              <w:t>Физические и юридические лица</w:t>
            </w:r>
          </w:p>
        </w:tc>
      </w:tr>
      <w:tr w:rsidR="00AA06B2" w:rsidRPr="00236378" w:rsidTr="00C00C2D">
        <w:trPr>
          <w:trHeight w:val="77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83CC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6821" w:rsidRPr="00D83CCC" w:rsidRDefault="006806AE" w:rsidP="006C4C33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</w:rPr>
            </w:pPr>
            <w:r w:rsidRPr="00D83CCC">
              <w:rPr>
                <w:rFonts w:ascii="Arial" w:hAnsi="Arial" w:cs="Arial"/>
                <w:color w:val="000000"/>
              </w:rPr>
              <w:t>Администрация Шумихинского района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83CC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56E6E" w:rsidRDefault="008767E3" w:rsidP="00856E6E">
            <w:pPr>
              <w:pStyle w:val="ConsPlusNormal"/>
              <w:spacing w:before="220"/>
              <w:jc w:val="both"/>
              <w:rPr>
                <w:rFonts w:ascii="Arial" w:hAnsi="Arial" w:cs="Arial"/>
                <w:szCs w:val="22"/>
              </w:rPr>
            </w:pPr>
            <w:proofErr w:type="gramStart"/>
            <w:r w:rsidRPr="00D83CCC">
              <w:rPr>
                <w:rFonts w:ascii="Arial" w:hAnsi="Arial" w:cs="Arial"/>
                <w:szCs w:val="22"/>
              </w:rPr>
              <w:t>Заявителями на получение муниципальной услуги являются физические или юридические лица,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</w:t>
            </w:r>
            <w:proofErr w:type="gramEnd"/>
            <w:r w:rsidRPr="00D83CCC">
              <w:rPr>
                <w:rFonts w:ascii="Arial" w:hAnsi="Arial" w:cs="Arial"/>
                <w:szCs w:val="22"/>
              </w:rPr>
              <w:t xml:space="preserve"> полномочия государственного (муниципального) заказчика) строительство, реконструкцию объектов капитального строительства</w:t>
            </w:r>
            <w:r w:rsidRPr="00D83CCC">
              <w:rPr>
                <w:rFonts w:ascii="Arial" w:hAnsi="Arial" w:cs="Arial"/>
                <w:szCs w:val="22"/>
              </w:rPr>
              <w:t>.</w:t>
            </w:r>
            <w:r w:rsidR="00856E6E">
              <w:rPr>
                <w:rFonts w:ascii="Arial" w:hAnsi="Arial" w:cs="Arial"/>
                <w:szCs w:val="22"/>
              </w:rPr>
              <w:t xml:space="preserve"> </w:t>
            </w:r>
          </w:p>
          <w:p w:rsidR="008767E3" w:rsidRPr="00D83CCC" w:rsidRDefault="008767E3" w:rsidP="00856E6E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D83CCC">
              <w:rPr>
                <w:rFonts w:ascii="Arial" w:hAnsi="Arial" w:cs="Arial"/>
                <w:szCs w:val="22"/>
              </w:rPr>
              <w:t>Заявитель вправе обратиться за получением муниципальной услуги через представителя.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83CC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847F9" w:rsidRPr="00D83CCC" w:rsidRDefault="00F847F9" w:rsidP="00F847F9">
            <w:pPr>
              <w:spacing w:after="0" w:line="240" w:lineRule="auto"/>
              <w:ind w:firstLine="567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1) заявление о выдаче разрешения на строительство;</w:t>
            </w:r>
          </w:p>
          <w:p w:rsidR="00F847F9" w:rsidRPr="00D83CCC" w:rsidRDefault="00F847F9" w:rsidP="00F847F9">
            <w:pPr>
              <w:spacing w:after="0" w:line="240" w:lineRule="auto"/>
              <w:ind w:firstLine="567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2) 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 w:rsidR="00F847F9" w:rsidRPr="00D83CCC" w:rsidRDefault="00F847F9" w:rsidP="00F847F9">
            <w:pPr>
              <w:spacing w:after="0" w:line="240" w:lineRule="auto"/>
              <w:ind w:firstLine="567"/>
              <w:jc w:val="both"/>
              <w:rPr>
                <w:rFonts w:ascii="Arial" w:eastAsia="Calibri" w:hAnsi="Arial" w:cs="Arial"/>
              </w:rPr>
            </w:pPr>
            <w:proofErr w:type="gramStart"/>
            <w:r w:rsidRPr="00D83CCC">
              <w:rPr>
                <w:rFonts w:ascii="Arial" w:eastAsia="Calibri" w:hAnsi="Arial" w:cs="Arial"/>
              </w:rPr>
              <w:t>3) 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D83CCC">
              <w:rPr>
                <w:rFonts w:ascii="Arial" w:eastAsia="Calibri" w:hAnsi="Arial" w:cs="Arial"/>
              </w:rPr>
              <w:t>Росатом</w:t>
            </w:r>
            <w:proofErr w:type="spellEnd"/>
            <w:r w:rsidRPr="00D83CCC">
              <w:rPr>
                <w:rFonts w:ascii="Arial" w:eastAsia="Calibri" w:hAnsi="Arial" w:cs="Arial"/>
              </w:rPr>
              <w:t>", Государственной корпорацией по космической деятельности "</w:t>
            </w:r>
            <w:proofErr w:type="spellStart"/>
            <w:r w:rsidRPr="00D83CCC">
              <w:rPr>
                <w:rFonts w:ascii="Arial" w:eastAsia="Calibri" w:hAnsi="Arial" w:cs="Arial"/>
              </w:rPr>
              <w:t>Роскосмос</w:t>
            </w:r>
            <w:proofErr w:type="spellEnd"/>
            <w:r w:rsidRPr="00D83CCC">
              <w:rPr>
                <w:rFonts w:ascii="Arial" w:eastAsia="Calibri" w:hAnsi="Arial" w:cs="Arial"/>
              </w:rPr>
      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      </w:r>
            <w:proofErr w:type="gramEnd"/>
            <w:r w:rsidRPr="00D83CCC">
              <w:rPr>
                <w:rFonts w:ascii="Arial" w:eastAsia="Calibri" w:hAnsi="Arial" w:cs="Arial"/>
              </w:rPr>
              <w:t xml:space="preserve"> соглашение;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proofErr w:type="gramStart"/>
            <w:r w:rsidRPr="00D83CCC">
              <w:rPr>
                <w:rFonts w:ascii="Arial" w:eastAsia="Calibri" w:hAnsi="Arial" w:cs="Arial"/>
              </w:rPr>
              <w:t xml:space="preserve">4) </w:t>
            </w:r>
            <w:r w:rsidRPr="00D83CCC">
              <w:rPr>
                <w:rStyle w:val="blk"/>
                <w:rFonts w:ascii="Arial" w:hAnsi="Arial" w:cs="Arial"/>
              </w:rPr>
      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      </w:r>
            <w:proofErr w:type="gramEnd"/>
            <w:r w:rsidRPr="00D83CCC">
              <w:rPr>
                <w:rStyle w:val="blk"/>
                <w:rFonts w:ascii="Arial" w:hAnsi="Arial" w:cs="Arial"/>
              </w:rPr>
              <w:t xml:space="preserve"> </w:t>
            </w:r>
            <w:proofErr w:type="gramStart"/>
            <w:r w:rsidRPr="00D83CCC">
              <w:rPr>
                <w:rStyle w:val="blk"/>
                <w:rFonts w:ascii="Arial" w:hAnsi="Arial" w:cs="Arial"/>
              </w:rPr>
              <w:t>случае</w:t>
            </w:r>
            <w:proofErr w:type="gramEnd"/>
            <w:r w:rsidRPr="00D83CCC">
              <w:rPr>
                <w:rStyle w:val="blk"/>
                <w:rFonts w:ascii="Arial" w:hAnsi="Arial" w:cs="Arial"/>
              </w:rPr>
              <w:t xml:space="preserve"> выдачи разрешения на строительство линейного объекта, для размещения которого не требуется образование земельного участка;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5) материалы, содержащиеся в проектной документации: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а) пояснительная записка;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lastRenderedPageBreak/>
              <w:t>б) </w:t>
            </w:r>
            <w:r w:rsidRPr="00D83CCC">
              <w:rPr>
                <w:rStyle w:val="blk"/>
                <w:rFonts w:ascii="Arial" w:hAnsi="Arial" w:cs="Arial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в) 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г) архитектурные решения;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д) 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е) проект организации строительства объекта капитального строительства;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ж) проект организации работ по сносу объектов капитального строительства, их частей;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proofErr w:type="gramStart"/>
            <w:r w:rsidRPr="00D83CCC">
              <w:rPr>
                <w:rFonts w:ascii="Arial" w:eastAsia="Calibri" w:hAnsi="Arial" w:cs="Arial"/>
              </w:rPr>
              <w:t>з) 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Федерации;</w:t>
            </w:r>
            <w:proofErr w:type="gramEnd"/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proofErr w:type="gramStart"/>
            <w:r w:rsidRPr="00D83CCC">
              <w:rPr>
                <w:rFonts w:ascii="Arial" w:eastAsia="Calibri" w:hAnsi="Arial" w:cs="Arial"/>
              </w:rPr>
              <w:t>6) 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</w:t>
            </w:r>
            <w:proofErr w:type="gramEnd"/>
            <w:r w:rsidRPr="00D83CCC">
              <w:rPr>
                <w:rFonts w:ascii="Arial" w:eastAsia="Calibri" w:hAnsi="Arial" w:cs="Arial"/>
              </w:rPr>
              <w:t xml:space="preserve"> экологической экспертизы проектной документации в случаях, предусмотренных частью 6 статьи 49 Градостроительного кодекса Российской Федерации;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7) 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8) 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Градостроительного кодекса Российской Федерации случаев реконструкции многоквартирного дома;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proofErr w:type="gramStart"/>
            <w:r w:rsidRPr="00D83CCC">
              <w:rPr>
                <w:rFonts w:ascii="Arial" w:eastAsia="Calibri" w:hAnsi="Arial" w:cs="Arial"/>
              </w:rPr>
              <w:t>9) 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D83CCC">
              <w:rPr>
                <w:rFonts w:ascii="Arial" w:eastAsia="Calibri" w:hAnsi="Arial" w:cs="Arial"/>
              </w:rPr>
              <w:t>Росатом</w:t>
            </w:r>
            <w:proofErr w:type="spellEnd"/>
            <w:r w:rsidRPr="00D83CCC">
              <w:rPr>
                <w:rFonts w:ascii="Arial" w:eastAsia="Calibri" w:hAnsi="Arial" w:cs="Arial"/>
              </w:rPr>
              <w:t>", Государственной корпорацией по космической деятельности "</w:t>
            </w:r>
            <w:proofErr w:type="spellStart"/>
            <w:r w:rsidRPr="00D83CCC">
              <w:rPr>
                <w:rFonts w:ascii="Arial" w:eastAsia="Calibri" w:hAnsi="Arial" w:cs="Arial"/>
              </w:rPr>
              <w:t>Роскосмос</w:t>
            </w:r>
            <w:proofErr w:type="spellEnd"/>
            <w:r w:rsidRPr="00D83CCC">
              <w:rPr>
                <w:rFonts w:ascii="Arial" w:eastAsia="Calibri" w:hAnsi="Arial" w:cs="Arial"/>
              </w:rPr>
      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      </w:r>
            <w:proofErr w:type="gramEnd"/>
            <w:r w:rsidRPr="00D83CCC">
              <w:rPr>
                <w:rFonts w:ascii="Arial" w:eastAsia="Calibri" w:hAnsi="Arial" w:cs="Arial"/>
              </w:rPr>
      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 w:rsidRPr="00D83CCC">
              <w:rPr>
                <w:rFonts w:ascii="Arial" w:eastAsia="Calibri" w:hAnsi="Arial" w:cs="Arial"/>
              </w:rPr>
              <w:t>определяющее</w:t>
            </w:r>
            <w:proofErr w:type="gramEnd"/>
            <w:r w:rsidRPr="00D83CCC">
              <w:rPr>
                <w:rFonts w:ascii="Arial" w:eastAsia="Calibri" w:hAnsi="Arial" w:cs="Arial"/>
              </w:rPr>
              <w:t xml:space="preserve"> в том числе условия и </w:t>
            </w:r>
            <w:r w:rsidRPr="00D83CCC">
              <w:rPr>
                <w:rFonts w:ascii="Arial" w:eastAsia="Calibri" w:hAnsi="Arial" w:cs="Arial"/>
              </w:rPr>
              <w:lastRenderedPageBreak/>
              <w:t xml:space="preserve">порядок возмещения ущерба, причиненного </w:t>
            </w:r>
            <w:bookmarkStart w:id="0" w:name="_GoBack"/>
            <w:bookmarkEnd w:id="0"/>
            <w:r w:rsidRPr="00D83CCC">
              <w:rPr>
                <w:rFonts w:ascii="Arial" w:eastAsia="Calibri" w:hAnsi="Arial" w:cs="Arial"/>
              </w:rPr>
              <w:t>указанному объекту при осуществлении реконструкции;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 xml:space="preserve">10) решение общего собрания собственников помещений и </w:t>
            </w:r>
            <w:proofErr w:type="spellStart"/>
            <w:r w:rsidRPr="00D83CCC">
              <w:rPr>
                <w:rFonts w:ascii="Arial" w:eastAsia="Calibri" w:hAnsi="Arial" w:cs="Arial"/>
              </w:rPr>
              <w:t>машино</w:t>
            </w:r>
            <w:proofErr w:type="spellEnd"/>
            <w:r w:rsidRPr="00D83CCC">
              <w:rPr>
                <w:rFonts w:ascii="Arial" w:eastAsia="Calibri" w:hAnsi="Arial" w:cs="Arial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D83CCC">
              <w:rPr>
                <w:rFonts w:ascii="Arial" w:eastAsia="Calibri" w:hAnsi="Arial" w:cs="Arial"/>
              </w:rPr>
              <w:t>машино</w:t>
            </w:r>
            <w:proofErr w:type="spellEnd"/>
            <w:r w:rsidRPr="00D83CCC">
              <w:rPr>
                <w:rFonts w:ascii="Arial" w:eastAsia="Calibri" w:hAnsi="Arial" w:cs="Arial"/>
              </w:rPr>
              <w:t>-мест в многоквартирном доме;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11) 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      </w:r>
          </w:p>
          <w:p w:rsidR="00F847F9" w:rsidRPr="00D83CCC" w:rsidRDefault="00F847F9" w:rsidP="00F847F9">
            <w:pPr>
              <w:spacing w:after="0" w:line="240" w:lineRule="auto"/>
              <w:ind w:firstLine="540"/>
              <w:jc w:val="both"/>
              <w:rPr>
                <w:rFonts w:ascii="Arial" w:eastAsia="Calibri" w:hAnsi="Arial" w:cs="Arial"/>
              </w:rPr>
            </w:pPr>
            <w:r w:rsidRPr="00D83CCC">
              <w:rPr>
                <w:rFonts w:ascii="Arial" w:eastAsia="Calibri" w:hAnsi="Arial" w:cs="Arial"/>
              </w:rPr>
              <w:t>12) 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      </w:r>
          </w:p>
          <w:p w:rsidR="00AA06B2" w:rsidRPr="00D83CCC" w:rsidRDefault="00F847F9" w:rsidP="00D83CCC">
            <w:pPr>
              <w:spacing w:after="0" w:line="240" w:lineRule="auto"/>
              <w:ind w:firstLine="54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83CCC">
              <w:rPr>
                <w:rFonts w:ascii="Arial" w:eastAsia="Calibri" w:hAnsi="Arial" w:cs="Arial"/>
              </w:rPr>
              <w:t>13) 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      </w:r>
            <w:proofErr w:type="gramEnd"/>
            <w:r w:rsidRPr="00D83CCC">
              <w:rPr>
                <w:rFonts w:ascii="Arial" w:eastAsia="Calibri" w:hAnsi="Arial" w:cs="Arial"/>
              </w:rPr>
              <w:t xml:space="preserve"> или ранее установленная зона с особыми условиями использования территории подлежит изменению.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83CC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D83CCC" w:rsidRDefault="00D83CCC" w:rsidP="00E017D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bookmarkStart w:id="1" w:name="P142"/>
            <w:bookmarkEnd w:id="1"/>
            <w:proofErr w:type="gramStart"/>
            <w:r w:rsidRPr="00D83CCC">
              <w:rPr>
                <w:rFonts w:ascii="Arial" w:eastAsia="Calibri" w:hAnsi="Arial" w:cs="Arial"/>
              </w:rPr>
              <w:t>В случае если заявитель самостоятельно не представил документы, указанные в подпунктах 2 – 7, 11, 13 пункта 9.2 Административного регламента,</w:t>
            </w:r>
            <w:r w:rsidR="00E017D5">
              <w:rPr>
                <w:rFonts w:ascii="Arial" w:eastAsia="Calibri" w:hAnsi="Arial" w:cs="Arial"/>
              </w:rPr>
              <w:t xml:space="preserve"> </w:t>
            </w:r>
            <w:r w:rsidRPr="00D83CCC">
              <w:rPr>
                <w:rFonts w:ascii="Arial" w:eastAsia="Calibri" w:hAnsi="Arial" w:cs="Arial"/>
              </w:rPr>
              <w:t>Администрация направляет межведомственный запрос о предоставлении таких документов в государственные органы, органы местного самоуправления и подведомственные государственным органам, органам местного самоуправления организациям, в распоряжении которых находятся указанные документы в соответствии с нормативными правовыми актами Российской Федерации.</w:t>
            </w:r>
            <w:proofErr w:type="gramEnd"/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83CC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23E67" w:rsidRPr="00D83CCC" w:rsidRDefault="00523E67" w:rsidP="00D83CCC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szCs w:val="22"/>
              </w:rPr>
            </w:pPr>
            <w:r w:rsidRPr="00D83CCC">
              <w:rPr>
                <w:rFonts w:ascii="Arial" w:hAnsi="Arial" w:cs="Arial"/>
                <w:szCs w:val="22"/>
              </w:rPr>
              <w:t>1) выдача разрешения на строительство;</w:t>
            </w:r>
          </w:p>
          <w:p w:rsidR="00523E67" w:rsidRPr="00D83CCC" w:rsidRDefault="00523E67" w:rsidP="00D83CCC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szCs w:val="22"/>
              </w:rPr>
            </w:pPr>
            <w:r w:rsidRPr="00D83CCC">
              <w:rPr>
                <w:rFonts w:ascii="Arial" w:hAnsi="Arial" w:cs="Arial"/>
                <w:szCs w:val="22"/>
              </w:rPr>
              <w:t>2) отказ в выдаче разрешения на строительство;</w:t>
            </w:r>
          </w:p>
          <w:p w:rsidR="00AA06B2" w:rsidRPr="00D83CCC" w:rsidRDefault="00523E67" w:rsidP="00D83CCC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D83CCC">
              <w:rPr>
                <w:rFonts w:ascii="Arial" w:hAnsi="Arial" w:cs="Arial"/>
                <w:szCs w:val="22"/>
              </w:rPr>
              <w:t>3) выдача повторного экземпляра (дубликата) разрешения на строительство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83CC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E275A" w:rsidRPr="00D83CCC" w:rsidRDefault="00FE275A" w:rsidP="00D83CCC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szCs w:val="22"/>
              </w:rPr>
            </w:pPr>
            <w:proofErr w:type="gramStart"/>
            <w:r w:rsidRPr="00D83CCC">
              <w:rPr>
                <w:rFonts w:ascii="Arial" w:hAnsi="Arial" w:cs="Arial"/>
                <w:szCs w:val="22"/>
              </w:rPr>
              <w:t>Администрация в течение семи рабочих дней с момента поступления заявления и документов, необходимых для предоставления муниципальной услуги, указанных в пункте 9.2 Административного регламента, принимает решение о выдаче разрешения на строительство и выдает разрешение на строительство либо принимает решение об отказе в выдаче разрешения на строительство и выдает решение об отказе в выдаче разрешения на строительство.</w:t>
            </w:r>
            <w:proofErr w:type="gramEnd"/>
          </w:p>
          <w:p w:rsidR="00AA06B2" w:rsidRPr="00D83CCC" w:rsidRDefault="00FE275A" w:rsidP="005C75A5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D83CCC">
              <w:rPr>
                <w:rFonts w:ascii="Arial" w:hAnsi="Arial" w:cs="Arial"/>
                <w:szCs w:val="22"/>
              </w:rPr>
              <w:t xml:space="preserve">Администрация выдает заявителю повторный экземпляр (дубликата) разрешения на строительство в течение 5 рабочих дней </w:t>
            </w:r>
            <w:proofErr w:type="gramStart"/>
            <w:r w:rsidRPr="00D83CCC">
              <w:rPr>
                <w:rFonts w:ascii="Arial" w:hAnsi="Arial" w:cs="Arial"/>
                <w:szCs w:val="22"/>
              </w:rPr>
              <w:t>с даты поступления</w:t>
            </w:r>
            <w:proofErr w:type="gramEnd"/>
            <w:r w:rsidRPr="00D83CCC">
              <w:rPr>
                <w:rFonts w:ascii="Arial" w:hAnsi="Arial" w:cs="Arial"/>
                <w:szCs w:val="22"/>
              </w:rPr>
              <w:t xml:space="preserve"> соответствующего заявления.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D83CCC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D83CCC" w:rsidRDefault="004A3FC2" w:rsidP="0006721C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</w:rPr>
            </w:pPr>
            <w:r w:rsidRPr="00D83CCC">
              <w:rPr>
                <w:rFonts w:ascii="Arial" w:hAnsi="Arial" w:cs="Arial"/>
                <w:color w:val="000000"/>
              </w:rPr>
              <w:t>нет</w:t>
            </w:r>
          </w:p>
        </w:tc>
      </w:tr>
      <w:tr w:rsidR="00685A47" w:rsidRPr="00236378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A47" w:rsidRPr="00D83CCC" w:rsidRDefault="00685A4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5A47" w:rsidRPr="00511039" w:rsidRDefault="00BB7C88" w:rsidP="00BB7C8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11039">
              <w:rPr>
                <w:rFonts w:ascii="Arial" w:eastAsia="Times New Roman" w:hAnsi="Arial" w:cs="Arial"/>
              </w:rPr>
              <w:t xml:space="preserve">Муниципальная услуга оказывается бесплатно. </w:t>
            </w:r>
          </w:p>
        </w:tc>
      </w:tr>
      <w:tr w:rsidR="00685A47" w:rsidRPr="00236378" w:rsidTr="00565CB7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5A47" w:rsidRPr="00D83CCC" w:rsidRDefault="00685A4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5A47" w:rsidRPr="00D83CCC" w:rsidRDefault="00685A47" w:rsidP="00005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</w:p>
        </w:tc>
      </w:tr>
      <w:tr w:rsidR="00685A47" w:rsidRPr="00236378" w:rsidTr="00165CE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5A47" w:rsidRPr="00D83CCC" w:rsidRDefault="00685A4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6AE" w:rsidRPr="00D83CCC" w:rsidRDefault="006806AE" w:rsidP="006806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</w:rPr>
            </w:pPr>
            <w:r w:rsidRPr="00D83CCC">
              <w:rPr>
                <w:rFonts w:ascii="Arial" w:hAnsi="Arial" w:cs="Arial"/>
                <w:color w:val="000000"/>
              </w:rPr>
              <w:t xml:space="preserve">Постановление Администрации Шумихинского района </w:t>
            </w:r>
            <w:r w:rsidRPr="00D83CCC">
              <w:rPr>
                <w:rFonts w:ascii="Arial" w:eastAsia="Times New Roman" w:hAnsi="Arial" w:cs="Arial"/>
              </w:rPr>
              <w:t xml:space="preserve">от  01.03.2019 г. </w:t>
            </w:r>
            <w:r w:rsidR="00A95E16">
              <w:rPr>
                <w:rFonts w:ascii="Arial" w:eastAsia="Times New Roman" w:hAnsi="Arial" w:cs="Arial"/>
              </w:rPr>
              <w:t xml:space="preserve">№ </w:t>
            </w:r>
            <w:r w:rsidRPr="00D83CCC">
              <w:rPr>
                <w:rFonts w:ascii="Arial" w:eastAsia="Times New Roman" w:hAnsi="Arial" w:cs="Arial"/>
              </w:rPr>
              <w:t>111</w:t>
            </w:r>
            <w:r w:rsidRPr="00D83CCC">
              <w:rPr>
                <w:rFonts w:ascii="Arial" w:eastAsia="Times New Roman" w:hAnsi="Arial" w:cs="Arial"/>
              </w:rPr>
              <w:t xml:space="preserve"> «</w:t>
            </w:r>
            <w:r w:rsidRPr="00D83CCC">
              <w:rPr>
                <w:rFonts w:ascii="Arial" w:eastAsia="Times New Roman" w:hAnsi="Arial" w:cs="Arial"/>
                <w:spacing w:val="-1"/>
                <w:shd w:val="clear" w:color="auto" w:fill="FFFFFF"/>
              </w:rPr>
              <w:t xml:space="preserve">Об утверждении административного регламента </w:t>
            </w:r>
            <w:r w:rsidR="008767E3" w:rsidRPr="00D83CCC">
              <w:rPr>
                <w:rFonts w:ascii="Arial" w:eastAsia="Times New Roman" w:hAnsi="Arial" w:cs="Arial"/>
                <w:spacing w:val="-1"/>
                <w:shd w:val="clear" w:color="auto" w:fill="FFFFFF"/>
              </w:rPr>
              <w:t xml:space="preserve">предоставления Администрацией </w:t>
            </w:r>
            <w:r w:rsidRPr="00D83CCC">
              <w:rPr>
                <w:rFonts w:ascii="Arial" w:eastAsia="Times New Roman" w:hAnsi="Arial" w:cs="Arial"/>
                <w:spacing w:val="-1"/>
                <w:shd w:val="clear" w:color="auto" w:fill="FFFFFF"/>
              </w:rPr>
              <w:t xml:space="preserve">Шумихинского района муниципальной услуги </w:t>
            </w:r>
            <w:r w:rsidRPr="00D83CCC">
              <w:rPr>
                <w:rFonts w:ascii="Arial" w:eastAsia="Times New Roman" w:hAnsi="Arial" w:cs="Arial"/>
                <w:shd w:val="clear" w:color="auto" w:fill="FFFFFF"/>
              </w:rPr>
              <w:t xml:space="preserve">«Выдача разрешений на строительство, реконструкцию объектов капитального строительства» </w:t>
            </w:r>
          </w:p>
          <w:p w:rsidR="00685A47" w:rsidRPr="00D83CCC" w:rsidRDefault="00685A47" w:rsidP="006806AE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5945"/>
    <w:rsid w:val="00035C38"/>
    <w:rsid w:val="000402D0"/>
    <w:rsid w:val="00055AA1"/>
    <w:rsid w:val="0006721C"/>
    <w:rsid w:val="0009617A"/>
    <w:rsid w:val="000C7258"/>
    <w:rsid w:val="000D6821"/>
    <w:rsid w:val="000E65D1"/>
    <w:rsid w:val="00104893"/>
    <w:rsid w:val="00106549"/>
    <w:rsid w:val="00146FA3"/>
    <w:rsid w:val="00150B0B"/>
    <w:rsid w:val="00165CEC"/>
    <w:rsid w:val="001E4785"/>
    <w:rsid w:val="001F41F3"/>
    <w:rsid w:val="00236378"/>
    <w:rsid w:val="002A4064"/>
    <w:rsid w:val="002F4D8A"/>
    <w:rsid w:val="002F5927"/>
    <w:rsid w:val="002F6C42"/>
    <w:rsid w:val="00333510"/>
    <w:rsid w:val="0039620A"/>
    <w:rsid w:val="003C5206"/>
    <w:rsid w:val="003C7094"/>
    <w:rsid w:val="00405BA3"/>
    <w:rsid w:val="0041020D"/>
    <w:rsid w:val="004141F0"/>
    <w:rsid w:val="004166E5"/>
    <w:rsid w:val="00416A55"/>
    <w:rsid w:val="00443263"/>
    <w:rsid w:val="00484251"/>
    <w:rsid w:val="004A1410"/>
    <w:rsid w:val="004A3FC2"/>
    <w:rsid w:val="004A5AEB"/>
    <w:rsid w:val="004D44F5"/>
    <w:rsid w:val="00500902"/>
    <w:rsid w:val="00505209"/>
    <w:rsid w:val="00511039"/>
    <w:rsid w:val="005173B8"/>
    <w:rsid w:val="00523E67"/>
    <w:rsid w:val="00553BC7"/>
    <w:rsid w:val="00565CB7"/>
    <w:rsid w:val="0056648E"/>
    <w:rsid w:val="00587E2B"/>
    <w:rsid w:val="005C6928"/>
    <w:rsid w:val="005C75A5"/>
    <w:rsid w:val="005D2BDB"/>
    <w:rsid w:val="00626ED3"/>
    <w:rsid w:val="0067536D"/>
    <w:rsid w:val="00676D3F"/>
    <w:rsid w:val="006806AE"/>
    <w:rsid w:val="00685A47"/>
    <w:rsid w:val="006C4C33"/>
    <w:rsid w:val="006E607C"/>
    <w:rsid w:val="00737EA6"/>
    <w:rsid w:val="00764722"/>
    <w:rsid w:val="00774E3D"/>
    <w:rsid w:val="0079696E"/>
    <w:rsid w:val="007A7F5A"/>
    <w:rsid w:val="007A7FA2"/>
    <w:rsid w:val="007C0122"/>
    <w:rsid w:val="007D2417"/>
    <w:rsid w:val="007E1D26"/>
    <w:rsid w:val="00812D10"/>
    <w:rsid w:val="008217CE"/>
    <w:rsid w:val="00827CA3"/>
    <w:rsid w:val="008360FB"/>
    <w:rsid w:val="00856E6E"/>
    <w:rsid w:val="00871183"/>
    <w:rsid w:val="008767E3"/>
    <w:rsid w:val="00881CE0"/>
    <w:rsid w:val="008902F8"/>
    <w:rsid w:val="008A1897"/>
    <w:rsid w:val="008A1EDE"/>
    <w:rsid w:val="008A71F4"/>
    <w:rsid w:val="008C05E5"/>
    <w:rsid w:val="008C66DA"/>
    <w:rsid w:val="008E688F"/>
    <w:rsid w:val="008F3E4B"/>
    <w:rsid w:val="00925459"/>
    <w:rsid w:val="009B27C8"/>
    <w:rsid w:val="009D58FE"/>
    <w:rsid w:val="009E7929"/>
    <w:rsid w:val="00A262B8"/>
    <w:rsid w:val="00A307C3"/>
    <w:rsid w:val="00A5214B"/>
    <w:rsid w:val="00A53879"/>
    <w:rsid w:val="00A744F2"/>
    <w:rsid w:val="00A77C10"/>
    <w:rsid w:val="00A95E16"/>
    <w:rsid w:val="00AA06B2"/>
    <w:rsid w:val="00AB6972"/>
    <w:rsid w:val="00AE3F6A"/>
    <w:rsid w:val="00AF25A8"/>
    <w:rsid w:val="00B04F21"/>
    <w:rsid w:val="00B2106E"/>
    <w:rsid w:val="00B52401"/>
    <w:rsid w:val="00B93492"/>
    <w:rsid w:val="00B95507"/>
    <w:rsid w:val="00BB7C88"/>
    <w:rsid w:val="00BE02CF"/>
    <w:rsid w:val="00BE6A95"/>
    <w:rsid w:val="00C00C2D"/>
    <w:rsid w:val="00C121B6"/>
    <w:rsid w:val="00C24098"/>
    <w:rsid w:val="00C56FCE"/>
    <w:rsid w:val="00C65A45"/>
    <w:rsid w:val="00C92CAD"/>
    <w:rsid w:val="00CA424F"/>
    <w:rsid w:val="00CD58C4"/>
    <w:rsid w:val="00CD6DF0"/>
    <w:rsid w:val="00CE11E1"/>
    <w:rsid w:val="00CE696E"/>
    <w:rsid w:val="00CF0F2D"/>
    <w:rsid w:val="00D32C22"/>
    <w:rsid w:val="00D46955"/>
    <w:rsid w:val="00D55E77"/>
    <w:rsid w:val="00D83CCC"/>
    <w:rsid w:val="00DD0525"/>
    <w:rsid w:val="00DE1303"/>
    <w:rsid w:val="00DE5D85"/>
    <w:rsid w:val="00DF426D"/>
    <w:rsid w:val="00E00926"/>
    <w:rsid w:val="00E017D5"/>
    <w:rsid w:val="00E01D36"/>
    <w:rsid w:val="00E0200C"/>
    <w:rsid w:val="00E02840"/>
    <w:rsid w:val="00E02DF1"/>
    <w:rsid w:val="00E24F72"/>
    <w:rsid w:val="00E6668D"/>
    <w:rsid w:val="00E95A00"/>
    <w:rsid w:val="00EF5FF4"/>
    <w:rsid w:val="00F1489E"/>
    <w:rsid w:val="00F24E75"/>
    <w:rsid w:val="00F558A2"/>
    <w:rsid w:val="00F70E2E"/>
    <w:rsid w:val="00F847F9"/>
    <w:rsid w:val="00FD3637"/>
    <w:rsid w:val="00FD4E8C"/>
    <w:rsid w:val="00FD4FD0"/>
    <w:rsid w:val="00FE275A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DocList">
    <w:name w:val="ConsPlusDocList"/>
    <w:rsid w:val="00587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3E67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basedOn w:val="a0"/>
    <w:rsid w:val="00F847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DocList">
    <w:name w:val="ConsPlusDocList"/>
    <w:rsid w:val="00587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3E67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basedOn w:val="a0"/>
    <w:rsid w:val="00F84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127</cp:revision>
  <cp:lastPrinted>2018-08-08T10:10:00Z</cp:lastPrinted>
  <dcterms:created xsi:type="dcterms:W3CDTF">2018-11-16T04:57:00Z</dcterms:created>
  <dcterms:modified xsi:type="dcterms:W3CDTF">2019-06-17T10:29:00Z</dcterms:modified>
</cp:coreProperties>
</file>