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43" w:type="dxa"/>
        <w:tblCellSpacing w:w="15" w:type="dxa"/>
        <w:tblBorders>
          <w:top w:val="single" w:sz="6" w:space="0" w:color="EDEDED"/>
          <w:bottom w:val="single" w:sz="6" w:space="0" w:color="EDEDED"/>
          <w:right w:val="single" w:sz="6" w:space="0" w:color="EDEDED"/>
          <w:insideH w:val="single" w:sz="6" w:space="0" w:color="EDEDED"/>
          <w:insideV w:val="single" w:sz="6" w:space="0" w:color="EDEDED"/>
        </w:tblBorders>
        <w:tblCellMar>
          <w:top w:w="15" w:type="dxa"/>
          <w:left w:w="15" w:type="dxa"/>
          <w:bottom w:w="15" w:type="dxa"/>
          <w:right w:w="15" w:type="dxa"/>
        </w:tblCellMar>
        <w:tblLook w:val="04A0" w:firstRow="1" w:lastRow="0" w:firstColumn="1" w:lastColumn="0" w:noHBand="0" w:noVBand="1"/>
      </w:tblPr>
      <w:tblGrid>
        <w:gridCol w:w="2448"/>
        <w:gridCol w:w="12995"/>
      </w:tblGrid>
      <w:tr w:rsidR="00DB4332" w:rsidRPr="00564D10" w:rsidTr="00DB4332">
        <w:trPr>
          <w:trHeight w:val="571"/>
          <w:tblCellSpacing w:w="15" w:type="dxa"/>
        </w:trPr>
        <w:tc>
          <w:tcPr>
            <w:tcW w:w="2403" w:type="dxa"/>
            <w:shd w:val="clear" w:color="auto" w:fill="FAFAFA"/>
            <w:tcMar>
              <w:top w:w="150" w:type="dxa"/>
              <w:left w:w="150" w:type="dxa"/>
              <w:bottom w:w="150" w:type="dxa"/>
              <w:right w:w="150" w:type="dxa"/>
            </w:tcMar>
          </w:tcPr>
          <w:p w:rsidR="00DB4332" w:rsidRPr="00F52772" w:rsidRDefault="00DB4332" w:rsidP="00236378">
            <w:pPr>
              <w:spacing w:after="0" w:line="240" w:lineRule="auto"/>
              <w:rPr>
                <w:rFonts w:ascii="Arial" w:eastAsia="Times New Roman" w:hAnsi="Arial" w:cs="Arial"/>
                <w:b/>
                <w:color w:val="403152" w:themeColor="accent4" w:themeShade="80"/>
                <w:sz w:val="21"/>
                <w:szCs w:val="21"/>
                <w:lang w:eastAsia="ru-RU"/>
              </w:rPr>
            </w:pPr>
            <w:r w:rsidRPr="00F52772">
              <w:rPr>
                <w:rFonts w:ascii="Arial" w:eastAsia="Times New Roman" w:hAnsi="Arial" w:cs="Arial"/>
                <w:b/>
                <w:color w:val="403152" w:themeColor="accent4" w:themeShade="80"/>
                <w:sz w:val="21"/>
                <w:szCs w:val="21"/>
                <w:lang w:eastAsia="ru-RU"/>
              </w:rPr>
              <w:t>Наименование услуги</w:t>
            </w:r>
          </w:p>
        </w:tc>
        <w:tc>
          <w:tcPr>
            <w:tcW w:w="12950" w:type="dxa"/>
            <w:shd w:val="clear" w:color="auto" w:fill="auto"/>
            <w:tcMar>
              <w:top w:w="150" w:type="dxa"/>
              <w:left w:w="150" w:type="dxa"/>
              <w:bottom w:w="150" w:type="dxa"/>
              <w:right w:w="150" w:type="dxa"/>
            </w:tcMar>
          </w:tcPr>
          <w:p w:rsidR="00DB4332" w:rsidRPr="0023536C" w:rsidRDefault="003F7095" w:rsidP="00CF76C0">
            <w:pPr>
              <w:spacing w:after="0" w:line="240" w:lineRule="auto"/>
              <w:rPr>
                <w:rFonts w:ascii="Arial" w:eastAsia="Times New Roman" w:hAnsi="Arial" w:cs="Arial"/>
                <w:b/>
                <w:sz w:val="21"/>
                <w:szCs w:val="21"/>
                <w:lang w:eastAsia="ru-RU"/>
              </w:rPr>
            </w:pPr>
            <w:r w:rsidRPr="0023536C">
              <w:rPr>
                <w:rFonts w:ascii="Arial" w:eastAsia="Times New Roman" w:hAnsi="Arial" w:cs="Arial"/>
                <w:b/>
                <w:sz w:val="21"/>
                <w:szCs w:val="21"/>
                <w:lang w:eastAsia="ru-RU"/>
              </w:rPr>
              <w:t>Предоставление сведений, содержащихся в информационной системе обеспечения градостроительной деятельности</w:t>
            </w:r>
          </w:p>
        </w:tc>
      </w:tr>
      <w:tr w:rsidR="00236378" w:rsidRPr="00564D10" w:rsidTr="00DB4332">
        <w:trPr>
          <w:trHeight w:val="571"/>
          <w:tblCellSpacing w:w="15" w:type="dxa"/>
        </w:trPr>
        <w:tc>
          <w:tcPr>
            <w:tcW w:w="2403" w:type="dxa"/>
            <w:shd w:val="clear" w:color="auto" w:fill="FAFAFA"/>
            <w:tcMar>
              <w:top w:w="150" w:type="dxa"/>
              <w:left w:w="150" w:type="dxa"/>
              <w:bottom w:w="150" w:type="dxa"/>
              <w:right w:w="150" w:type="dxa"/>
            </w:tcMar>
            <w:hideMark/>
          </w:tcPr>
          <w:p w:rsidR="00236378" w:rsidRPr="00F52772" w:rsidRDefault="00236378" w:rsidP="00236378">
            <w:pPr>
              <w:spacing w:after="0" w:line="240" w:lineRule="auto"/>
              <w:rPr>
                <w:rFonts w:ascii="Arial" w:eastAsia="Times New Roman" w:hAnsi="Arial" w:cs="Arial"/>
                <w:b/>
                <w:color w:val="403152" w:themeColor="accent4" w:themeShade="80"/>
                <w:sz w:val="21"/>
                <w:szCs w:val="21"/>
                <w:lang w:eastAsia="ru-RU"/>
              </w:rPr>
            </w:pPr>
            <w:r w:rsidRPr="00F52772">
              <w:rPr>
                <w:rFonts w:ascii="Arial" w:eastAsia="Times New Roman" w:hAnsi="Arial" w:cs="Arial"/>
                <w:b/>
                <w:color w:val="403152" w:themeColor="accent4" w:themeShade="80"/>
                <w:sz w:val="21"/>
                <w:szCs w:val="21"/>
                <w:lang w:eastAsia="ru-RU"/>
              </w:rPr>
              <w:t>Ответственный орган</w:t>
            </w:r>
          </w:p>
        </w:tc>
        <w:tc>
          <w:tcPr>
            <w:tcW w:w="12950" w:type="dxa"/>
            <w:shd w:val="clear" w:color="auto" w:fill="auto"/>
            <w:tcMar>
              <w:top w:w="150" w:type="dxa"/>
              <w:left w:w="150" w:type="dxa"/>
              <w:bottom w:w="150" w:type="dxa"/>
              <w:right w:w="150" w:type="dxa"/>
            </w:tcMar>
          </w:tcPr>
          <w:p w:rsidR="00236378" w:rsidRPr="0023536C" w:rsidRDefault="000E3B9E" w:rsidP="00937CA5">
            <w:pPr>
              <w:spacing w:after="0" w:line="240" w:lineRule="auto"/>
              <w:rPr>
                <w:rFonts w:ascii="Arial" w:eastAsia="Times New Roman" w:hAnsi="Arial" w:cs="Arial"/>
                <w:color w:val="000000"/>
                <w:sz w:val="21"/>
                <w:szCs w:val="21"/>
                <w:lang w:eastAsia="ru-RU"/>
              </w:rPr>
            </w:pPr>
            <w:r w:rsidRPr="0023536C">
              <w:rPr>
                <w:rFonts w:ascii="Arial" w:eastAsia="Times New Roman" w:hAnsi="Arial" w:cs="Arial"/>
                <w:color w:val="000000"/>
                <w:sz w:val="21"/>
                <w:szCs w:val="21"/>
                <w:lang w:eastAsia="ru-RU"/>
              </w:rPr>
              <w:t>Департамент архитектуры, строительства и земельных отношений</w:t>
            </w:r>
            <w:r w:rsidR="0098128F">
              <w:rPr>
                <w:rFonts w:ascii="Arial" w:eastAsia="Times New Roman" w:hAnsi="Arial" w:cs="Arial"/>
                <w:color w:val="000000"/>
                <w:sz w:val="21"/>
                <w:szCs w:val="21"/>
                <w:lang w:eastAsia="ru-RU"/>
              </w:rPr>
              <w:t xml:space="preserve"> Администрации города Кургана</w:t>
            </w:r>
            <w:bookmarkStart w:id="0" w:name="_GoBack"/>
            <w:bookmarkEnd w:id="0"/>
          </w:p>
        </w:tc>
      </w:tr>
      <w:tr w:rsidR="00236378" w:rsidRPr="00564D10" w:rsidTr="001A35CD">
        <w:trPr>
          <w:trHeight w:val="826"/>
          <w:tblCellSpacing w:w="15" w:type="dxa"/>
        </w:trPr>
        <w:tc>
          <w:tcPr>
            <w:tcW w:w="2403" w:type="dxa"/>
            <w:shd w:val="clear" w:color="auto" w:fill="FAFAFA"/>
            <w:tcMar>
              <w:top w:w="150" w:type="dxa"/>
              <w:left w:w="150" w:type="dxa"/>
              <w:bottom w:w="150" w:type="dxa"/>
              <w:right w:w="150" w:type="dxa"/>
            </w:tcMar>
            <w:hideMark/>
          </w:tcPr>
          <w:p w:rsidR="00236378" w:rsidRPr="00F52772" w:rsidRDefault="00564D10" w:rsidP="00236378">
            <w:pPr>
              <w:spacing w:after="0" w:line="240" w:lineRule="auto"/>
              <w:rPr>
                <w:rFonts w:ascii="Arial" w:eastAsia="Times New Roman" w:hAnsi="Arial" w:cs="Arial"/>
                <w:b/>
                <w:color w:val="403152" w:themeColor="accent4" w:themeShade="80"/>
                <w:sz w:val="21"/>
                <w:szCs w:val="21"/>
                <w:lang w:eastAsia="ru-RU"/>
              </w:rPr>
            </w:pPr>
            <w:r w:rsidRPr="00F52772">
              <w:rPr>
                <w:rFonts w:ascii="Arial" w:eastAsia="Times New Roman" w:hAnsi="Arial" w:cs="Arial"/>
                <w:b/>
                <w:color w:val="403152" w:themeColor="accent4" w:themeShade="80"/>
                <w:sz w:val="21"/>
                <w:szCs w:val="21"/>
                <w:lang w:eastAsia="ru-RU"/>
              </w:rPr>
              <w:t>Заявители</w:t>
            </w:r>
          </w:p>
        </w:tc>
        <w:tc>
          <w:tcPr>
            <w:tcW w:w="12950" w:type="dxa"/>
            <w:shd w:val="clear" w:color="auto" w:fill="auto"/>
            <w:tcMar>
              <w:top w:w="150" w:type="dxa"/>
              <w:left w:w="150" w:type="dxa"/>
              <w:bottom w:w="150" w:type="dxa"/>
              <w:right w:w="150" w:type="dxa"/>
            </w:tcMar>
          </w:tcPr>
          <w:p w:rsidR="00236378" w:rsidRPr="0023536C" w:rsidRDefault="000F6416" w:rsidP="00701E17">
            <w:pPr>
              <w:shd w:val="clear" w:color="auto" w:fill="FFFFFF"/>
              <w:spacing w:before="390" w:after="300" w:line="300" w:lineRule="atLeast"/>
              <w:jc w:val="both"/>
              <w:rPr>
                <w:rFonts w:ascii="Arial" w:hAnsi="Arial" w:cs="Arial"/>
                <w:color w:val="000000"/>
                <w:sz w:val="21"/>
                <w:szCs w:val="21"/>
              </w:rPr>
            </w:pPr>
            <w:r w:rsidRPr="0023536C">
              <w:rPr>
                <w:rStyle w:val="ng-scope"/>
                <w:rFonts w:ascii="Arial" w:hAnsi="Arial" w:cs="Arial"/>
                <w:sz w:val="21"/>
                <w:szCs w:val="21"/>
              </w:rPr>
              <w:t>Заявителями при предоставлении муниципальной услуги выступают органы государственной власти, органы местного самоуправления, физические и юридические лица, заинтер</w:t>
            </w:r>
            <w:r w:rsidR="009C12AE" w:rsidRPr="0023536C">
              <w:rPr>
                <w:rStyle w:val="ng-scope"/>
                <w:rFonts w:ascii="Arial" w:hAnsi="Arial" w:cs="Arial"/>
                <w:sz w:val="21"/>
                <w:szCs w:val="21"/>
              </w:rPr>
              <w:t xml:space="preserve">есованные в получении сведений </w:t>
            </w:r>
          </w:p>
        </w:tc>
      </w:tr>
      <w:tr w:rsidR="00236378" w:rsidRPr="00564D10" w:rsidTr="004B51D5">
        <w:trPr>
          <w:tblCellSpacing w:w="15" w:type="dxa"/>
        </w:trPr>
        <w:tc>
          <w:tcPr>
            <w:tcW w:w="2403" w:type="dxa"/>
            <w:shd w:val="clear" w:color="auto" w:fill="FAFAFA"/>
            <w:tcMar>
              <w:top w:w="150" w:type="dxa"/>
              <w:left w:w="150" w:type="dxa"/>
              <w:bottom w:w="150" w:type="dxa"/>
              <w:right w:w="150" w:type="dxa"/>
            </w:tcMar>
            <w:hideMark/>
          </w:tcPr>
          <w:p w:rsidR="00236378" w:rsidRPr="00F52772" w:rsidRDefault="00236378" w:rsidP="00236378">
            <w:pPr>
              <w:spacing w:after="0" w:line="240" w:lineRule="auto"/>
              <w:rPr>
                <w:rFonts w:ascii="Arial" w:eastAsia="Times New Roman" w:hAnsi="Arial" w:cs="Arial"/>
                <w:b/>
                <w:color w:val="403152" w:themeColor="accent4" w:themeShade="80"/>
                <w:sz w:val="21"/>
                <w:szCs w:val="21"/>
                <w:lang w:eastAsia="ru-RU"/>
              </w:rPr>
            </w:pPr>
            <w:r w:rsidRPr="00F52772">
              <w:rPr>
                <w:rFonts w:ascii="Arial" w:eastAsia="Times New Roman" w:hAnsi="Arial" w:cs="Arial"/>
                <w:b/>
                <w:color w:val="403152" w:themeColor="accent4" w:themeShade="80"/>
                <w:sz w:val="21"/>
                <w:szCs w:val="21"/>
                <w:lang w:eastAsia="ru-RU"/>
              </w:rPr>
              <w:t>Услуга предоставляется</w:t>
            </w:r>
          </w:p>
        </w:tc>
        <w:tc>
          <w:tcPr>
            <w:tcW w:w="12950" w:type="dxa"/>
            <w:shd w:val="clear" w:color="auto" w:fill="auto"/>
            <w:tcMar>
              <w:top w:w="150" w:type="dxa"/>
              <w:left w:w="150" w:type="dxa"/>
              <w:bottom w:w="150" w:type="dxa"/>
              <w:right w:w="150" w:type="dxa"/>
            </w:tcMar>
          </w:tcPr>
          <w:p w:rsidR="00236378" w:rsidRPr="0023536C" w:rsidRDefault="00BF26DE" w:rsidP="00564D10">
            <w:pPr>
              <w:pStyle w:val="ConsPlusNormal"/>
              <w:spacing w:before="220"/>
              <w:jc w:val="both"/>
              <w:rPr>
                <w:rFonts w:ascii="Arial" w:hAnsi="Arial" w:cs="Arial"/>
                <w:color w:val="000000"/>
                <w:sz w:val="21"/>
                <w:szCs w:val="21"/>
              </w:rPr>
            </w:pPr>
            <w:r w:rsidRPr="0023536C">
              <w:rPr>
                <w:rFonts w:ascii="Arial" w:hAnsi="Arial" w:cs="Arial"/>
                <w:color w:val="000000"/>
                <w:sz w:val="21"/>
                <w:szCs w:val="21"/>
              </w:rPr>
              <w:t>Департаментом архитектуры, строительства и земельных отношений</w:t>
            </w:r>
          </w:p>
        </w:tc>
      </w:tr>
      <w:tr w:rsidR="00236378" w:rsidRPr="00564D10" w:rsidTr="004B51D5">
        <w:trPr>
          <w:tblCellSpacing w:w="15" w:type="dxa"/>
        </w:trPr>
        <w:tc>
          <w:tcPr>
            <w:tcW w:w="2403" w:type="dxa"/>
            <w:shd w:val="clear" w:color="auto" w:fill="FAFAFA"/>
            <w:tcMar>
              <w:top w:w="150" w:type="dxa"/>
              <w:left w:w="150" w:type="dxa"/>
              <w:bottom w:w="150" w:type="dxa"/>
              <w:right w:w="150" w:type="dxa"/>
            </w:tcMar>
            <w:hideMark/>
          </w:tcPr>
          <w:p w:rsidR="00236378" w:rsidRPr="00F52772" w:rsidRDefault="00236378" w:rsidP="00236378">
            <w:pPr>
              <w:spacing w:after="0" w:line="240" w:lineRule="auto"/>
              <w:rPr>
                <w:rFonts w:ascii="Arial" w:eastAsia="Times New Roman" w:hAnsi="Arial" w:cs="Arial"/>
                <w:b/>
                <w:color w:val="000000"/>
                <w:sz w:val="21"/>
                <w:szCs w:val="21"/>
                <w:lang w:eastAsia="ru-RU"/>
              </w:rPr>
            </w:pPr>
            <w:r w:rsidRPr="00F52772">
              <w:rPr>
                <w:rFonts w:ascii="Arial" w:eastAsia="Times New Roman" w:hAnsi="Arial" w:cs="Arial"/>
                <w:b/>
                <w:color w:val="403152" w:themeColor="accent4" w:themeShade="80"/>
                <w:sz w:val="21"/>
                <w:szCs w:val="21"/>
                <w:lang w:eastAsia="ru-RU"/>
              </w:rPr>
              <w:t>Обязательные документы</w:t>
            </w:r>
          </w:p>
        </w:tc>
        <w:tc>
          <w:tcPr>
            <w:tcW w:w="12950" w:type="dxa"/>
            <w:shd w:val="clear" w:color="auto" w:fill="auto"/>
            <w:tcMar>
              <w:top w:w="150" w:type="dxa"/>
              <w:left w:w="150" w:type="dxa"/>
              <w:bottom w:w="150" w:type="dxa"/>
              <w:right w:w="150" w:type="dxa"/>
            </w:tcMar>
          </w:tcPr>
          <w:p w:rsidR="00792431" w:rsidRPr="0023536C" w:rsidRDefault="00792431" w:rsidP="00792431">
            <w:pPr>
              <w:jc w:val="both"/>
              <w:rPr>
                <w:rStyle w:val="ng-scope"/>
                <w:rFonts w:ascii="Arial" w:hAnsi="Arial" w:cs="Arial"/>
                <w:sz w:val="21"/>
                <w:szCs w:val="21"/>
              </w:rPr>
            </w:pPr>
            <w:r w:rsidRPr="0023536C">
              <w:rPr>
                <w:rStyle w:val="ng-scope"/>
                <w:rFonts w:ascii="Arial" w:hAnsi="Arial" w:cs="Arial"/>
                <w:sz w:val="21"/>
                <w:szCs w:val="21"/>
              </w:rPr>
              <w:t xml:space="preserve">- запрос в Департамент архитектуры, строительства и земельных отношений Администрации города Кургана о предоставлении сведений, содержащихся в информационной системе обеспечения градостроительной деятельности; </w:t>
            </w:r>
          </w:p>
          <w:p w:rsidR="00C5398B" w:rsidRPr="0023536C" w:rsidRDefault="00792431" w:rsidP="00792431">
            <w:pPr>
              <w:jc w:val="both"/>
              <w:rPr>
                <w:rFonts w:ascii="Arial" w:hAnsi="Arial" w:cs="Arial"/>
                <w:sz w:val="21"/>
                <w:szCs w:val="21"/>
              </w:rPr>
            </w:pPr>
            <w:r w:rsidRPr="0023536C">
              <w:rPr>
                <w:rStyle w:val="ng-scope"/>
                <w:rFonts w:ascii="Arial" w:hAnsi="Arial" w:cs="Arial"/>
                <w:sz w:val="21"/>
                <w:szCs w:val="21"/>
              </w:rPr>
              <w:t>- документ, подтверждающий внесение платы за предоставление сведений, при отсутствии у заявителя права на их бесплатное получение, предусмотренное действующим законодательством (за исключением случаев, когда сведения предоставляются без взимания платы).</w:t>
            </w:r>
          </w:p>
        </w:tc>
      </w:tr>
      <w:tr w:rsidR="00236378" w:rsidRPr="00564D10" w:rsidTr="00A61DBE">
        <w:trPr>
          <w:trHeight w:val="912"/>
          <w:tblCellSpacing w:w="15" w:type="dxa"/>
        </w:trPr>
        <w:tc>
          <w:tcPr>
            <w:tcW w:w="2403" w:type="dxa"/>
            <w:shd w:val="clear" w:color="auto" w:fill="FAFAFA"/>
            <w:tcMar>
              <w:top w:w="150" w:type="dxa"/>
              <w:left w:w="150" w:type="dxa"/>
              <w:bottom w:w="150" w:type="dxa"/>
              <w:right w:w="150" w:type="dxa"/>
            </w:tcMar>
            <w:hideMark/>
          </w:tcPr>
          <w:p w:rsidR="00236378" w:rsidRPr="00F52772" w:rsidRDefault="00236378" w:rsidP="00236378">
            <w:pPr>
              <w:spacing w:after="0" w:line="240" w:lineRule="auto"/>
              <w:rPr>
                <w:rFonts w:ascii="Arial" w:eastAsia="Times New Roman" w:hAnsi="Arial" w:cs="Arial"/>
                <w:b/>
                <w:color w:val="403152" w:themeColor="accent4" w:themeShade="80"/>
                <w:sz w:val="21"/>
                <w:szCs w:val="21"/>
                <w:lang w:eastAsia="ru-RU"/>
              </w:rPr>
            </w:pPr>
            <w:r w:rsidRPr="00F52772">
              <w:rPr>
                <w:rFonts w:ascii="Arial" w:eastAsia="Times New Roman" w:hAnsi="Arial" w:cs="Arial"/>
                <w:b/>
                <w:color w:val="403152" w:themeColor="accent4" w:themeShade="80"/>
                <w:sz w:val="21"/>
                <w:szCs w:val="21"/>
                <w:lang w:eastAsia="ru-RU"/>
              </w:rPr>
              <w:t>Необязательные документы</w:t>
            </w:r>
          </w:p>
        </w:tc>
        <w:tc>
          <w:tcPr>
            <w:tcW w:w="12950" w:type="dxa"/>
            <w:shd w:val="clear" w:color="auto" w:fill="auto"/>
            <w:tcMar>
              <w:top w:w="150" w:type="dxa"/>
              <w:left w:w="150" w:type="dxa"/>
              <w:bottom w:w="150" w:type="dxa"/>
              <w:right w:w="150" w:type="dxa"/>
            </w:tcMar>
          </w:tcPr>
          <w:p w:rsidR="00236378" w:rsidRPr="0023536C" w:rsidRDefault="00FA3220" w:rsidP="00FA3220">
            <w:pPr>
              <w:ind w:firstLine="540"/>
              <w:jc w:val="both"/>
              <w:rPr>
                <w:rFonts w:ascii="Arial" w:hAnsi="Arial" w:cs="Arial"/>
                <w:sz w:val="21"/>
                <w:szCs w:val="21"/>
              </w:rPr>
            </w:pPr>
            <w:r w:rsidRPr="0023536C">
              <w:rPr>
                <w:rFonts w:ascii="Arial" w:hAnsi="Arial" w:cs="Arial"/>
                <w:sz w:val="21"/>
                <w:szCs w:val="21"/>
              </w:rPr>
              <w:t xml:space="preserve"> </w:t>
            </w:r>
          </w:p>
        </w:tc>
      </w:tr>
      <w:tr w:rsidR="00236378" w:rsidRPr="00564D10" w:rsidTr="004B51D5">
        <w:trPr>
          <w:tblCellSpacing w:w="15" w:type="dxa"/>
        </w:trPr>
        <w:tc>
          <w:tcPr>
            <w:tcW w:w="2403" w:type="dxa"/>
            <w:shd w:val="clear" w:color="auto" w:fill="FAFAFA"/>
            <w:tcMar>
              <w:top w:w="150" w:type="dxa"/>
              <w:left w:w="150" w:type="dxa"/>
              <w:bottom w:w="150" w:type="dxa"/>
              <w:right w:w="150" w:type="dxa"/>
            </w:tcMar>
            <w:hideMark/>
          </w:tcPr>
          <w:p w:rsidR="00236378" w:rsidRPr="00F52772" w:rsidRDefault="00236378" w:rsidP="00236378">
            <w:pPr>
              <w:spacing w:after="0" w:line="240" w:lineRule="auto"/>
              <w:rPr>
                <w:rFonts w:ascii="Arial" w:eastAsia="Times New Roman" w:hAnsi="Arial" w:cs="Arial"/>
                <w:b/>
                <w:color w:val="403152" w:themeColor="accent4" w:themeShade="80"/>
                <w:sz w:val="21"/>
                <w:szCs w:val="21"/>
                <w:lang w:eastAsia="ru-RU"/>
              </w:rPr>
            </w:pPr>
            <w:r w:rsidRPr="00F52772">
              <w:rPr>
                <w:rFonts w:ascii="Arial" w:eastAsia="Times New Roman" w:hAnsi="Arial" w:cs="Arial"/>
                <w:b/>
                <w:color w:val="403152" w:themeColor="accent4" w:themeShade="80"/>
                <w:sz w:val="21"/>
                <w:szCs w:val="21"/>
                <w:lang w:eastAsia="ru-RU"/>
              </w:rPr>
              <w:t>Результат</w:t>
            </w:r>
          </w:p>
        </w:tc>
        <w:tc>
          <w:tcPr>
            <w:tcW w:w="12950" w:type="dxa"/>
            <w:shd w:val="clear" w:color="auto" w:fill="auto"/>
            <w:tcMar>
              <w:top w:w="150" w:type="dxa"/>
              <w:left w:w="150" w:type="dxa"/>
              <w:bottom w:w="150" w:type="dxa"/>
              <w:right w:w="150" w:type="dxa"/>
            </w:tcMar>
          </w:tcPr>
          <w:p w:rsidR="00B30744" w:rsidRPr="0023536C" w:rsidRDefault="00261E73" w:rsidP="00261E73">
            <w:pPr>
              <w:spacing w:after="0" w:line="240" w:lineRule="auto"/>
              <w:jc w:val="both"/>
              <w:rPr>
                <w:rFonts w:ascii="Arial" w:hAnsi="Arial" w:cs="Arial"/>
                <w:sz w:val="21"/>
                <w:szCs w:val="21"/>
              </w:rPr>
            </w:pPr>
            <w:r w:rsidRPr="0023536C">
              <w:rPr>
                <w:rStyle w:val="ng-scope"/>
                <w:rFonts w:ascii="Arial" w:hAnsi="Arial" w:cs="Arial"/>
                <w:sz w:val="21"/>
                <w:szCs w:val="21"/>
              </w:rPr>
              <w:t>Результатом предоставления муниципальной услуги является выдача (направление) заявителю сведений, содержащихся в информационной системе обеспечения градостроительной деятельности, либо отказ в предоставлении сведений</w:t>
            </w:r>
          </w:p>
        </w:tc>
      </w:tr>
      <w:tr w:rsidR="00236378" w:rsidRPr="00564D10" w:rsidTr="004B51D5">
        <w:trPr>
          <w:tblCellSpacing w:w="15" w:type="dxa"/>
        </w:trPr>
        <w:tc>
          <w:tcPr>
            <w:tcW w:w="2403" w:type="dxa"/>
            <w:shd w:val="clear" w:color="auto" w:fill="FAFAFA"/>
            <w:tcMar>
              <w:top w:w="150" w:type="dxa"/>
              <w:left w:w="150" w:type="dxa"/>
              <w:bottom w:w="150" w:type="dxa"/>
              <w:right w:w="150" w:type="dxa"/>
            </w:tcMar>
            <w:hideMark/>
          </w:tcPr>
          <w:p w:rsidR="00236378" w:rsidRPr="00F52772" w:rsidRDefault="00236378" w:rsidP="00236378">
            <w:pPr>
              <w:spacing w:after="0" w:line="240" w:lineRule="auto"/>
              <w:rPr>
                <w:rFonts w:ascii="Arial" w:eastAsia="Times New Roman" w:hAnsi="Arial" w:cs="Arial"/>
                <w:b/>
                <w:color w:val="403152" w:themeColor="accent4" w:themeShade="80"/>
                <w:sz w:val="21"/>
                <w:szCs w:val="21"/>
                <w:lang w:eastAsia="ru-RU"/>
              </w:rPr>
            </w:pPr>
            <w:r w:rsidRPr="00F52772">
              <w:rPr>
                <w:rFonts w:ascii="Arial" w:eastAsia="Times New Roman" w:hAnsi="Arial" w:cs="Arial"/>
                <w:b/>
                <w:color w:val="403152" w:themeColor="accent4" w:themeShade="80"/>
                <w:sz w:val="21"/>
                <w:szCs w:val="21"/>
                <w:lang w:eastAsia="ru-RU"/>
              </w:rPr>
              <w:t>Срок предоставления услуги</w:t>
            </w:r>
          </w:p>
        </w:tc>
        <w:tc>
          <w:tcPr>
            <w:tcW w:w="12950" w:type="dxa"/>
            <w:shd w:val="clear" w:color="auto" w:fill="auto"/>
            <w:tcMar>
              <w:top w:w="150" w:type="dxa"/>
              <w:left w:w="150" w:type="dxa"/>
              <w:bottom w:w="150" w:type="dxa"/>
              <w:right w:w="150" w:type="dxa"/>
            </w:tcMar>
          </w:tcPr>
          <w:p w:rsidR="00671A6F" w:rsidRPr="0023536C" w:rsidRDefault="00A814AC" w:rsidP="00625B8A">
            <w:pPr>
              <w:spacing w:after="0" w:line="240" w:lineRule="auto"/>
              <w:jc w:val="both"/>
              <w:rPr>
                <w:rFonts w:ascii="Arial" w:hAnsi="Arial" w:cs="Arial"/>
                <w:sz w:val="21"/>
                <w:szCs w:val="21"/>
              </w:rPr>
            </w:pPr>
            <w:r w:rsidRPr="0023536C">
              <w:rPr>
                <w:rStyle w:val="ng-scope"/>
                <w:rFonts w:ascii="Arial" w:hAnsi="Arial" w:cs="Arial"/>
                <w:sz w:val="21"/>
                <w:szCs w:val="21"/>
              </w:rPr>
              <w:t>30 дней со дня обращения заявителя. В случае предоставления заявителем документов через МФЦ срок предоставления муниципальной услуги исчисляется со дня передачи МФЦ таких документов в Департамент архитектуры, строительства и земельных отношений Администрации города Кургана</w:t>
            </w:r>
          </w:p>
        </w:tc>
      </w:tr>
      <w:tr w:rsidR="00236378" w:rsidRPr="00564D10" w:rsidTr="004B51D5">
        <w:trPr>
          <w:tblCellSpacing w:w="15" w:type="dxa"/>
        </w:trPr>
        <w:tc>
          <w:tcPr>
            <w:tcW w:w="2403" w:type="dxa"/>
            <w:shd w:val="clear" w:color="auto" w:fill="FAFAFA"/>
            <w:tcMar>
              <w:top w:w="150" w:type="dxa"/>
              <w:left w:w="150" w:type="dxa"/>
              <w:bottom w:w="150" w:type="dxa"/>
              <w:right w:w="150" w:type="dxa"/>
            </w:tcMar>
            <w:hideMark/>
          </w:tcPr>
          <w:p w:rsidR="00236378" w:rsidRPr="00F52772" w:rsidRDefault="00236378" w:rsidP="00236378">
            <w:pPr>
              <w:spacing w:after="0" w:line="240" w:lineRule="auto"/>
              <w:rPr>
                <w:rFonts w:ascii="Arial" w:eastAsia="Times New Roman" w:hAnsi="Arial" w:cs="Arial"/>
                <w:b/>
                <w:color w:val="403152" w:themeColor="accent4" w:themeShade="80"/>
                <w:sz w:val="21"/>
                <w:szCs w:val="21"/>
                <w:lang w:eastAsia="ru-RU"/>
              </w:rPr>
            </w:pPr>
            <w:r w:rsidRPr="00F52772">
              <w:rPr>
                <w:rFonts w:ascii="Arial" w:eastAsia="Times New Roman" w:hAnsi="Arial" w:cs="Arial"/>
                <w:b/>
                <w:color w:val="403152" w:themeColor="accent4" w:themeShade="80"/>
                <w:sz w:val="21"/>
                <w:szCs w:val="21"/>
                <w:lang w:eastAsia="ru-RU"/>
              </w:rPr>
              <w:t>Основания для отказа</w:t>
            </w:r>
            <w:r w:rsidR="00E01D36" w:rsidRPr="00F52772">
              <w:rPr>
                <w:rFonts w:ascii="Arial" w:eastAsia="Times New Roman" w:hAnsi="Arial" w:cs="Arial"/>
                <w:b/>
                <w:color w:val="403152" w:themeColor="accent4" w:themeShade="80"/>
                <w:sz w:val="21"/>
                <w:szCs w:val="21"/>
                <w:lang w:eastAsia="ru-RU"/>
              </w:rPr>
              <w:t xml:space="preserve"> в приеме </w:t>
            </w:r>
            <w:r w:rsidR="00E01D36" w:rsidRPr="00F52772">
              <w:rPr>
                <w:rFonts w:ascii="Arial" w:eastAsia="Times New Roman" w:hAnsi="Arial" w:cs="Arial"/>
                <w:b/>
                <w:color w:val="403152" w:themeColor="accent4" w:themeShade="80"/>
                <w:sz w:val="21"/>
                <w:szCs w:val="21"/>
                <w:lang w:eastAsia="ru-RU"/>
              </w:rPr>
              <w:lastRenderedPageBreak/>
              <w:t>заявления</w:t>
            </w:r>
          </w:p>
        </w:tc>
        <w:tc>
          <w:tcPr>
            <w:tcW w:w="12950" w:type="dxa"/>
            <w:shd w:val="clear" w:color="auto" w:fill="auto"/>
            <w:tcMar>
              <w:top w:w="150" w:type="dxa"/>
              <w:left w:w="150" w:type="dxa"/>
              <w:bottom w:w="150" w:type="dxa"/>
              <w:right w:w="150" w:type="dxa"/>
            </w:tcMar>
          </w:tcPr>
          <w:p w:rsidR="00236378" w:rsidRPr="0023536C" w:rsidRDefault="00FA3220" w:rsidP="0069069E">
            <w:pPr>
              <w:spacing w:after="0" w:line="240" w:lineRule="auto"/>
              <w:rPr>
                <w:rFonts w:ascii="Arial" w:eastAsia="Times New Roman" w:hAnsi="Arial" w:cs="Arial"/>
                <w:sz w:val="21"/>
                <w:szCs w:val="21"/>
                <w:lang w:eastAsia="ru-RU"/>
              </w:rPr>
            </w:pPr>
            <w:r w:rsidRPr="0023536C">
              <w:rPr>
                <w:rFonts w:ascii="Arial" w:hAnsi="Arial" w:cs="Arial"/>
                <w:sz w:val="21"/>
                <w:szCs w:val="21"/>
              </w:rPr>
              <w:lastRenderedPageBreak/>
              <w:t>Основания для отказа в приеме документов, необходимых для предоставления муниципальной услуги, отсутствуют.</w:t>
            </w:r>
          </w:p>
        </w:tc>
      </w:tr>
      <w:tr w:rsidR="00236378" w:rsidRPr="00564D10" w:rsidTr="004B51D5">
        <w:trPr>
          <w:trHeight w:val="523"/>
          <w:tblCellSpacing w:w="15" w:type="dxa"/>
        </w:trPr>
        <w:tc>
          <w:tcPr>
            <w:tcW w:w="2403" w:type="dxa"/>
            <w:shd w:val="clear" w:color="auto" w:fill="FAFAFA"/>
            <w:tcMar>
              <w:top w:w="150" w:type="dxa"/>
              <w:left w:w="150" w:type="dxa"/>
              <w:bottom w:w="150" w:type="dxa"/>
              <w:right w:w="150" w:type="dxa"/>
            </w:tcMar>
            <w:hideMark/>
          </w:tcPr>
          <w:p w:rsidR="00236378" w:rsidRPr="00F52772" w:rsidRDefault="00236378" w:rsidP="00236378">
            <w:pPr>
              <w:spacing w:after="0" w:line="240" w:lineRule="auto"/>
              <w:rPr>
                <w:rFonts w:ascii="Arial" w:eastAsia="Times New Roman" w:hAnsi="Arial" w:cs="Arial"/>
                <w:b/>
                <w:color w:val="403152" w:themeColor="accent4" w:themeShade="80"/>
                <w:sz w:val="21"/>
                <w:szCs w:val="21"/>
                <w:lang w:eastAsia="ru-RU"/>
              </w:rPr>
            </w:pPr>
            <w:r w:rsidRPr="00F52772">
              <w:rPr>
                <w:rFonts w:ascii="Arial" w:eastAsia="Times New Roman" w:hAnsi="Arial" w:cs="Arial"/>
                <w:b/>
                <w:color w:val="403152" w:themeColor="accent4" w:themeShade="80"/>
                <w:sz w:val="21"/>
                <w:szCs w:val="21"/>
                <w:lang w:eastAsia="ru-RU"/>
              </w:rPr>
              <w:lastRenderedPageBreak/>
              <w:t>Стоимость</w:t>
            </w:r>
          </w:p>
        </w:tc>
        <w:tc>
          <w:tcPr>
            <w:tcW w:w="12950" w:type="dxa"/>
            <w:shd w:val="clear" w:color="auto" w:fill="auto"/>
            <w:tcMar>
              <w:top w:w="150" w:type="dxa"/>
              <w:left w:w="150" w:type="dxa"/>
              <w:bottom w:w="150" w:type="dxa"/>
              <w:right w:w="150" w:type="dxa"/>
            </w:tcMar>
          </w:tcPr>
          <w:p w:rsidR="004F33E0" w:rsidRPr="0023536C" w:rsidRDefault="004F33E0" w:rsidP="004F33E0">
            <w:pPr>
              <w:tabs>
                <w:tab w:val="left" w:pos="7538"/>
              </w:tabs>
              <w:spacing w:after="0" w:line="240" w:lineRule="auto"/>
              <w:jc w:val="both"/>
              <w:rPr>
                <w:rStyle w:val="ng-scope"/>
                <w:rFonts w:ascii="Arial" w:hAnsi="Arial" w:cs="Arial"/>
                <w:sz w:val="21"/>
                <w:szCs w:val="21"/>
              </w:rPr>
            </w:pPr>
            <w:proofErr w:type="gramStart"/>
            <w:r w:rsidRPr="0023536C">
              <w:rPr>
                <w:rStyle w:val="ng-scope"/>
                <w:rFonts w:ascii="Arial" w:hAnsi="Arial" w:cs="Arial"/>
                <w:sz w:val="21"/>
                <w:szCs w:val="21"/>
              </w:rPr>
              <w:t>Муниципальная услуга предоставляется на платной основе, за исключением случаев предоставления информации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также в случаях, предусмотренных федеральными законами, по запросам физических и юридических лиц.</w:t>
            </w:r>
            <w:proofErr w:type="gramEnd"/>
            <w:r w:rsidR="00B02760" w:rsidRPr="0023536C">
              <w:rPr>
                <w:rStyle w:val="ng-scope"/>
                <w:rFonts w:ascii="Arial" w:hAnsi="Arial" w:cs="Arial"/>
                <w:sz w:val="21"/>
                <w:szCs w:val="21"/>
              </w:rPr>
              <w:t xml:space="preserve"> </w:t>
            </w:r>
            <w:r w:rsidRPr="0023536C">
              <w:rPr>
                <w:rStyle w:val="ng-scope"/>
                <w:rFonts w:ascii="Arial" w:hAnsi="Arial" w:cs="Arial"/>
                <w:sz w:val="21"/>
                <w:szCs w:val="21"/>
              </w:rPr>
              <w:t xml:space="preserve">За предоставление сведений, содержащихся в информационной системе обеспечения градостроительной деятельности, взимается плата в размере, утвержденном решением Курганской городской Думы. </w:t>
            </w:r>
          </w:p>
          <w:p w:rsidR="004F33E0" w:rsidRPr="0023536C" w:rsidRDefault="004F33E0" w:rsidP="004F33E0">
            <w:pPr>
              <w:tabs>
                <w:tab w:val="left" w:pos="7538"/>
              </w:tabs>
              <w:spacing w:after="0" w:line="240" w:lineRule="auto"/>
              <w:jc w:val="both"/>
              <w:rPr>
                <w:rStyle w:val="ng-scope"/>
                <w:rFonts w:ascii="Arial" w:hAnsi="Arial" w:cs="Arial"/>
                <w:sz w:val="21"/>
                <w:szCs w:val="21"/>
              </w:rPr>
            </w:pPr>
          </w:p>
          <w:p w:rsidR="004F33E0" w:rsidRPr="0023536C" w:rsidRDefault="004F33E0" w:rsidP="004F33E0">
            <w:pPr>
              <w:tabs>
                <w:tab w:val="left" w:pos="7538"/>
              </w:tabs>
              <w:spacing w:after="0" w:line="240" w:lineRule="auto"/>
              <w:jc w:val="both"/>
              <w:rPr>
                <w:rFonts w:ascii="Arial" w:eastAsia="Times New Roman" w:hAnsi="Arial" w:cs="Arial"/>
                <w:sz w:val="21"/>
                <w:szCs w:val="21"/>
                <w:lang w:eastAsia="ru-RU"/>
              </w:rPr>
            </w:pPr>
            <w:r w:rsidRPr="0023536C">
              <w:rPr>
                <w:rStyle w:val="ng-scope"/>
                <w:rFonts w:ascii="Arial" w:hAnsi="Arial" w:cs="Arial"/>
                <w:sz w:val="21"/>
                <w:szCs w:val="21"/>
              </w:rPr>
              <w:t>Реквизиты для внесения платы за предоставление сведений размещаются на официальном сайте муниципального образования города Кургана www.kurgan-city.ru, на информационных стендах Департамента архитектуры, строительства и земельных отношений Администрации города Кургана, а также предоставляются на основании устных и письменных обращений.</w:t>
            </w:r>
          </w:p>
        </w:tc>
      </w:tr>
      <w:tr w:rsidR="00236378" w:rsidRPr="00564D10" w:rsidTr="004B51D5">
        <w:trPr>
          <w:tblCellSpacing w:w="15" w:type="dxa"/>
        </w:trPr>
        <w:tc>
          <w:tcPr>
            <w:tcW w:w="2403" w:type="dxa"/>
            <w:shd w:val="clear" w:color="auto" w:fill="FAFAFA"/>
            <w:tcMar>
              <w:top w:w="150" w:type="dxa"/>
              <w:left w:w="150" w:type="dxa"/>
              <w:bottom w:w="150" w:type="dxa"/>
              <w:right w:w="150" w:type="dxa"/>
            </w:tcMar>
          </w:tcPr>
          <w:p w:rsidR="00236378" w:rsidRPr="00F52772" w:rsidRDefault="00E01D36" w:rsidP="00236378">
            <w:pPr>
              <w:spacing w:after="0" w:line="240" w:lineRule="auto"/>
              <w:rPr>
                <w:rFonts w:ascii="Arial" w:eastAsia="Times New Roman" w:hAnsi="Arial" w:cs="Arial"/>
                <w:b/>
                <w:color w:val="403152" w:themeColor="accent4" w:themeShade="80"/>
                <w:sz w:val="21"/>
                <w:szCs w:val="21"/>
                <w:lang w:eastAsia="ru-RU"/>
              </w:rPr>
            </w:pPr>
            <w:r w:rsidRPr="00F52772">
              <w:rPr>
                <w:rFonts w:ascii="Arial" w:eastAsia="Times New Roman" w:hAnsi="Arial" w:cs="Arial"/>
                <w:b/>
                <w:color w:val="403152" w:themeColor="accent4" w:themeShade="80"/>
                <w:sz w:val="21"/>
                <w:szCs w:val="21"/>
                <w:lang w:eastAsia="ru-RU"/>
              </w:rPr>
              <w:t>Иные требования, учитывающие особенности предоставления государственной услуги через МФЦ</w:t>
            </w:r>
          </w:p>
        </w:tc>
        <w:tc>
          <w:tcPr>
            <w:tcW w:w="12950" w:type="dxa"/>
            <w:shd w:val="clear" w:color="auto" w:fill="auto"/>
            <w:tcMar>
              <w:top w:w="150" w:type="dxa"/>
              <w:left w:w="150" w:type="dxa"/>
              <w:bottom w:w="150" w:type="dxa"/>
              <w:right w:w="150" w:type="dxa"/>
            </w:tcMar>
          </w:tcPr>
          <w:p w:rsidR="00236378" w:rsidRPr="0023536C" w:rsidRDefault="00236378" w:rsidP="00581096">
            <w:pPr>
              <w:spacing w:after="0" w:line="240" w:lineRule="auto"/>
              <w:jc w:val="both"/>
              <w:rPr>
                <w:rFonts w:ascii="Arial" w:eastAsia="Times New Roman" w:hAnsi="Arial" w:cs="Arial"/>
                <w:sz w:val="21"/>
                <w:szCs w:val="21"/>
                <w:highlight w:val="yellow"/>
                <w:lang w:eastAsia="ru-RU"/>
              </w:rPr>
            </w:pPr>
          </w:p>
        </w:tc>
      </w:tr>
      <w:tr w:rsidR="00236378" w:rsidRPr="00564D10" w:rsidTr="00744CC6">
        <w:trPr>
          <w:trHeight w:val="626"/>
          <w:tblCellSpacing w:w="15" w:type="dxa"/>
        </w:trPr>
        <w:tc>
          <w:tcPr>
            <w:tcW w:w="2403" w:type="dxa"/>
            <w:shd w:val="clear" w:color="auto" w:fill="FAFAFA"/>
            <w:tcMar>
              <w:top w:w="150" w:type="dxa"/>
              <w:left w:w="150" w:type="dxa"/>
              <w:bottom w:w="150" w:type="dxa"/>
              <w:right w:w="150" w:type="dxa"/>
            </w:tcMar>
            <w:hideMark/>
          </w:tcPr>
          <w:p w:rsidR="00236378" w:rsidRPr="00F52772" w:rsidRDefault="00236378" w:rsidP="00236378">
            <w:pPr>
              <w:spacing w:after="0" w:line="240" w:lineRule="auto"/>
              <w:rPr>
                <w:rFonts w:ascii="Arial" w:eastAsia="Times New Roman" w:hAnsi="Arial" w:cs="Arial"/>
                <w:b/>
                <w:color w:val="403152" w:themeColor="accent4" w:themeShade="80"/>
                <w:sz w:val="21"/>
                <w:szCs w:val="21"/>
                <w:lang w:eastAsia="ru-RU"/>
              </w:rPr>
            </w:pPr>
            <w:r w:rsidRPr="00F52772">
              <w:rPr>
                <w:rFonts w:ascii="Arial" w:eastAsia="Times New Roman" w:hAnsi="Arial" w:cs="Arial"/>
                <w:b/>
                <w:color w:val="403152" w:themeColor="accent4" w:themeShade="80"/>
                <w:sz w:val="21"/>
                <w:szCs w:val="21"/>
                <w:lang w:eastAsia="ru-RU"/>
              </w:rPr>
              <w:t>Административный регламент</w:t>
            </w:r>
          </w:p>
        </w:tc>
        <w:tc>
          <w:tcPr>
            <w:tcW w:w="12950" w:type="dxa"/>
            <w:shd w:val="clear" w:color="auto" w:fill="auto"/>
            <w:tcMar>
              <w:top w:w="150" w:type="dxa"/>
              <w:left w:w="150" w:type="dxa"/>
              <w:bottom w:w="150" w:type="dxa"/>
              <w:right w:w="150" w:type="dxa"/>
            </w:tcMar>
          </w:tcPr>
          <w:p w:rsidR="00236378" w:rsidRPr="0023536C" w:rsidRDefault="00DC3C4C" w:rsidP="00575D31">
            <w:pPr>
              <w:jc w:val="both"/>
              <w:rPr>
                <w:rFonts w:ascii="Arial" w:hAnsi="Arial" w:cs="Arial"/>
                <w:color w:val="000000"/>
                <w:sz w:val="21"/>
                <w:szCs w:val="21"/>
              </w:rPr>
            </w:pPr>
            <w:r w:rsidRPr="0023536C">
              <w:rPr>
                <w:rFonts w:ascii="Arial" w:hAnsi="Arial" w:cs="Arial"/>
                <w:color w:val="000000"/>
                <w:sz w:val="21"/>
                <w:szCs w:val="21"/>
              </w:rPr>
              <w:t xml:space="preserve">Постановление Администрации города Кургана от 27.07.2012 № 5308 "Об утверждении Административного регламента предоставления Комитетом архитектуры и градостроительства Администрации города Кургана муниципальной услуги «Предоставление сведений, содержащихся в информационной системе обеспечения градостроительной деятельности"  </w:t>
            </w:r>
          </w:p>
        </w:tc>
      </w:tr>
    </w:tbl>
    <w:p w:rsidR="0092731F" w:rsidRPr="0092731F" w:rsidRDefault="0092731F" w:rsidP="00F35833">
      <w:pPr>
        <w:jc w:val="right"/>
        <w:rPr>
          <w:rFonts w:ascii="Arial" w:hAnsi="Arial" w:cs="Arial"/>
          <w:sz w:val="21"/>
          <w:szCs w:val="21"/>
        </w:rPr>
      </w:pPr>
    </w:p>
    <w:sectPr w:rsidR="0092731F" w:rsidRPr="0092731F" w:rsidSect="00236378">
      <w:pgSz w:w="16838" w:h="11906" w:orient="landscape"/>
      <w:pgMar w:top="426"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751B"/>
    <w:multiLevelType w:val="hybridMultilevel"/>
    <w:tmpl w:val="6652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C710D7"/>
    <w:multiLevelType w:val="hybridMultilevel"/>
    <w:tmpl w:val="714A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031481"/>
    <w:multiLevelType w:val="multilevel"/>
    <w:tmpl w:val="BFC802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603BD6"/>
    <w:multiLevelType w:val="hybridMultilevel"/>
    <w:tmpl w:val="975AE11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6316C27"/>
    <w:multiLevelType w:val="hybridMultilevel"/>
    <w:tmpl w:val="CBE0083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nsid w:val="59DB6AF7"/>
    <w:multiLevelType w:val="hybridMultilevel"/>
    <w:tmpl w:val="B1464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124793"/>
    <w:multiLevelType w:val="hybridMultilevel"/>
    <w:tmpl w:val="4732A61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7C"/>
    <w:rsid w:val="000012CE"/>
    <w:rsid w:val="00002406"/>
    <w:rsid w:val="00004300"/>
    <w:rsid w:val="000535D6"/>
    <w:rsid w:val="000579F0"/>
    <w:rsid w:val="00064D78"/>
    <w:rsid w:val="00065142"/>
    <w:rsid w:val="000A15B1"/>
    <w:rsid w:val="000A3387"/>
    <w:rsid w:val="000E3B9E"/>
    <w:rsid w:val="000E65D1"/>
    <w:rsid w:val="000F6416"/>
    <w:rsid w:val="001166B9"/>
    <w:rsid w:val="00146FEF"/>
    <w:rsid w:val="00165CEC"/>
    <w:rsid w:val="00176CAA"/>
    <w:rsid w:val="001865E2"/>
    <w:rsid w:val="001A251D"/>
    <w:rsid w:val="001A35CD"/>
    <w:rsid w:val="001B1664"/>
    <w:rsid w:val="001B44D9"/>
    <w:rsid w:val="001D70E5"/>
    <w:rsid w:val="001F41F3"/>
    <w:rsid w:val="00213FDE"/>
    <w:rsid w:val="002145CB"/>
    <w:rsid w:val="0023450B"/>
    <w:rsid w:val="0023536C"/>
    <w:rsid w:val="00236378"/>
    <w:rsid w:val="00261E73"/>
    <w:rsid w:val="00277A71"/>
    <w:rsid w:val="0028488F"/>
    <w:rsid w:val="002B54E8"/>
    <w:rsid w:val="002F4D8A"/>
    <w:rsid w:val="0039620A"/>
    <w:rsid w:val="003B3AEC"/>
    <w:rsid w:val="003B658F"/>
    <w:rsid w:val="003D7B17"/>
    <w:rsid w:val="003F7095"/>
    <w:rsid w:val="004166E5"/>
    <w:rsid w:val="00480FA4"/>
    <w:rsid w:val="004862EE"/>
    <w:rsid w:val="00491F90"/>
    <w:rsid w:val="004960D4"/>
    <w:rsid w:val="004A1410"/>
    <w:rsid w:val="004A7ED4"/>
    <w:rsid w:val="004B3FC2"/>
    <w:rsid w:val="004B51D5"/>
    <w:rsid w:val="004D26A5"/>
    <w:rsid w:val="004D4F37"/>
    <w:rsid w:val="004D5D9C"/>
    <w:rsid w:val="004F33E0"/>
    <w:rsid w:val="004F681D"/>
    <w:rsid w:val="005173B8"/>
    <w:rsid w:val="00564D10"/>
    <w:rsid w:val="00575D31"/>
    <w:rsid w:val="00581096"/>
    <w:rsid w:val="005B6AE9"/>
    <w:rsid w:val="005D6620"/>
    <w:rsid w:val="00625B8A"/>
    <w:rsid w:val="006519D0"/>
    <w:rsid w:val="00657578"/>
    <w:rsid w:val="00671A6F"/>
    <w:rsid w:val="00676D3F"/>
    <w:rsid w:val="0069069E"/>
    <w:rsid w:val="006A1421"/>
    <w:rsid w:val="006C241E"/>
    <w:rsid w:val="006C56F7"/>
    <w:rsid w:val="006E607C"/>
    <w:rsid w:val="006F0019"/>
    <w:rsid w:val="006F18ED"/>
    <w:rsid w:val="007019F4"/>
    <w:rsid w:val="00701E17"/>
    <w:rsid w:val="007416E0"/>
    <w:rsid w:val="00744CC6"/>
    <w:rsid w:val="00762A9B"/>
    <w:rsid w:val="00763902"/>
    <w:rsid w:val="00764F9F"/>
    <w:rsid w:val="00792431"/>
    <w:rsid w:val="007930C9"/>
    <w:rsid w:val="007A15C7"/>
    <w:rsid w:val="007A7FA2"/>
    <w:rsid w:val="007E1D26"/>
    <w:rsid w:val="00802A4B"/>
    <w:rsid w:val="008160B2"/>
    <w:rsid w:val="008360FB"/>
    <w:rsid w:val="00845104"/>
    <w:rsid w:val="00876024"/>
    <w:rsid w:val="00881CE0"/>
    <w:rsid w:val="008A7745"/>
    <w:rsid w:val="008E688F"/>
    <w:rsid w:val="00902A59"/>
    <w:rsid w:val="00926C53"/>
    <w:rsid w:val="0092731F"/>
    <w:rsid w:val="009277B9"/>
    <w:rsid w:val="00937CA5"/>
    <w:rsid w:val="00944944"/>
    <w:rsid w:val="00945FC4"/>
    <w:rsid w:val="00951904"/>
    <w:rsid w:val="0098128F"/>
    <w:rsid w:val="00986985"/>
    <w:rsid w:val="009A1071"/>
    <w:rsid w:val="009C12AE"/>
    <w:rsid w:val="009E7929"/>
    <w:rsid w:val="00A126A0"/>
    <w:rsid w:val="00A37833"/>
    <w:rsid w:val="00A61DBE"/>
    <w:rsid w:val="00A744F2"/>
    <w:rsid w:val="00A77C10"/>
    <w:rsid w:val="00A814AC"/>
    <w:rsid w:val="00A845FB"/>
    <w:rsid w:val="00A95170"/>
    <w:rsid w:val="00AA2BCD"/>
    <w:rsid w:val="00AA4236"/>
    <w:rsid w:val="00AB7562"/>
    <w:rsid w:val="00AE68EA"/>
    <w:rsid w:val="00B02760"/>
    <w:rsid w:val="00B02A1F"/>
    <w:rsid w:val="00B13DCB"/>
    <w:rsid w:val="00B17838"/>
    <w:rsid w:val="00B30744"/>
    <w:rsid w:val="00B30C58"/>
    <w:rsid w:val="00B62C70"/>
    <w:rsid w:val="00B94CD8"/>
    <w:rsid w:val="00BD1D03"/>
    <w:rsid w:val="00BE7F4E"/>
    <w:rsid w:val="00BF26DE"/>
    <w:rsid w:val="00C10D36"/>
    <w:rsid w:val="00C23D40"/>
    <w:rsid w:val="00C24A69"/>
    <w:rsid w:val="00C42525"/>
    <w:rsid w:val="00C5398B"/>
    <w:rsid w:val="00C65A45"/>
    <w:rsid w:val="00C92976"/>
    <w:rsid w:val="00C976D6"/>
    <w:rsid w:val="00CD58C4"/>
    <w:rsid w:val="00CE11E1"/>
    <w:rsid w:val="00CF76C0"/>
    <w:rsid w:val="00D2198F"/>
    <w:rsid w:val="00D26E66"/>
    <w:rsid w:val="00D84EB1"/>
    <w:rsid w:val="00DA329D"/>
    <w:rsid w:val="00DB4332"/>
    <w:rsid w:val="00DC3C4C"/>
    <w:rsid w:val="00DD40A4"/>
    <w:rsid w:val="00DD6170"/>
    <w:rsid w:val="00DE5D85"/>
    <w:rsid w:val="00E00926"/>
    <w:rsid w:val="00E01D36"/>
    <w:rsid w:val="00E42369"/>
    <w:rsid w:val="00E629A5"/>
    <w:rsid w:val="00E64695"/>
    <w:rsid w:val="00E95A00"/>
    <w:rsid w:val="00E9726A"/>
    <w:rsid w:val="00EE7EC2"/>
    <w:rsid w:val="00F05733"/>
    <w:rsid w:val="00F35833"/>
    <w:rsid w:val="00F52772"/>
    <w:rsid w:val="00FA14E0"/>
    <w:rsid w:val="00FA3220"/>
    <w:rsid w:val="00FD3A4B"/>
    <w:rsid w:val="00FD4E8C"/>
    <w:rsid w:val="00FE6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1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39620A"/>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4B3FC2"/>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6C56F7"/>
    <w:pPr>
      <w:spacing w:before="100" w:beforeAutospacing="1" w:after="0" w:line="240" w:lineRule="auto"/>
      <w:jc w:val="both"/>
    </w:pPr>
    <w:rPr>
      <w:rFonts w:ascii="Liberation Sans" w:eastAsia="Times New Roman" w:hAnsi="Liberation Sans" w:cs="Liberation Sans"/>
      <w:color w:val="000000"/>
      <w:sz w:val="24"/>
      <w:szCs w:val="24"/>
      <w:lang w:eastAsia="ru-RU"/>
    </w:rPr>
  </w:style>
  <w:style w:type="character" w:customStyle="1" w:styleId="10">
    <w:name w:val="Заголовок 1 Знак"/>
    <w:basedOn w:val="a0"/>
    <w:link w:val="1"/>
    <w:uiPriority w:val="9"/>
    <w:rsid w:val="000A15B1"/>
    <w:rPr>
      <w:rFonts w:ascii="Times New Roman" w:eastAsia="Times New Roman" w:hAnsi="Times New Roman" w:cs="Times New Roman"/>
      <w:b/>
      <w:bCs/>
      <w:kern w:val="36"/>
      <w:sz w:val="48"/>
      <w:szCs w:val="48"/>
      <w:lang w:eastAsia="ru-RU"/>
    </w:rPr>
  </w:style>
  <w:style w:type="paragraph" w:customStyle="1" w:styleId="frgu-text-title">
    <w:name w:val="frgu-text-title"/>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binding">
    <w:name w:val="ng-binding"/>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64D10"/>
    <w:rPr>
      <w:color w:val="0000FF"/>
      <w:u w:val="single"/>
    </w:rPr>
  </w:style>
  <w:style w:type="character" w:styleId="a8">
    <w:name w:val="Emphasis"/>
    <w:basedOn w:val="a0"/>
    <w:uiPriority w:val="20"/>
    <w:qFormat/>
    <w:rsid w:val="008160B2"/>
    <w:rPr>
      <w:i/>
      <w:iCs/>
    </w:rPr>
  </w:style>
  <w:style w:type="character" w:customStyle="1" w:styleId="ConsPlusNormal0">
    <w:name w:val="ConsPlusNormal Знак"/>
    <w:basedOn w:val="a0"/>
    <w:link w:val="ConsPlusNormal"/>
    <w:locked/>
    <w:rsid w:val="00575D31"/>
    <w:rPr>
      <w:rFonts w:ascii="Calibri" w:eastAsia="Times New Roman" w:hAnsi="Calibri" w:cs="Calibri"/>
      <w:szCs w:val="20"/>
      <w:lang w:eastAsia="ru-RU"/>
    </w:rPr>
  </w:style>
  <w:style w:type="character" w:customStyle="1" w:styleId="ng-scope">
    <w:name w:val="ng-scope"/>
    <w:basedOn w:val="a0"/>
    <w:rsid w:val="000F6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1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39620A"/>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4B3FC2"/>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6C56F7"/>
    <w:pPr>
      <w:spacing w:before="100" w:beforeAutospacing="1" w:after="0" w:line="240" w:lineRule="auto"/>
      <w:jc w:val="both"/>
    </w:pPr>
    <w:rPr>
      <w:rFonts w:ascii="Liberation Sans" w:eastAsia="Times New Roman" w:hAnsi="Liberation Sans" w:cs="Liberation Sans"/>
      <w:color w:val="000000"/>
      <w:sz w:val="24"/>
      <w:szCs w:val="24"/>
      <w:lang w:eastAsia="ru-RU"/>
    </w:rPr>
  </w:style>
  <w:style w:type="character" w:customStyle="1" w:styleId="10">
    <w:name w:val="Заголовок 1 Знак"/>
    <w:basedOn w:val="a0"/>
    <w:link w:val="1"/>
    <w:uiPriority w:val="9"/>
    <w:rsid w:val="000A15B1"/>
    <w:rPr>
      <w:rFonts w:ascii="Times New Roman" w:eastAsia="Times New Roman" w:hAnsi="Times New Roman" w:cs="Times New Roman"/>
      <w:b/>
      <w:bCs/>
      <w:kern w:val="36"/>
      <w:sz w:val="48"/>
      <w:szCs w:val="48"/>
      <w:lang w:eastAsia="ru-RU"/>
    </w:rPr>
  </w:style>
  <w:style w:type="paragraph" w:customStyle="1" w:styleId="frgu-text-title">
    <w:name w:val="frgu-text-title"/>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binding">
    <w:name w:val="ng-binding"/>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64D10"/>
    <w:rPr>
      <w:color w:val="0000FF"/>
      <w:u w:val="single"/>
    </w:rPr>
  </w:style>
  <w:style w:type="character" w:styleId="a8">
    <w:name w:val="Emphasis"/>
    <w:basedOn w:val="a0"/>
    <w:uiPriority w:val="20"/>
    <w:qFormat/>
    <w:rsid w:val="008160B2"/>
    <w:rPr>
      <w:i/>
      <w:iCs/>
    </w:rPr>
  </w:style>
  <w:style w:type="character" w:customStyle="1" w:styleId="ConsPlusNormal0">
    <w:name w:val="ConsPlusNormal Знак"/>
    <w:basedOn w:val="a0"/>
    <w:link w:val="ConsPlusNormal"/>
    <w:locked/>
    <w:rsid w:val="00575D31"/>
    <w:rPr>
      <w:rFonts w:ascii="Calibri" w:eastAsia="Times New Roman" w:hAnsi="Calibri" w:cs="Calibri"/>
      <w:szCs w:val="20"/>
      <w:lang w:eastAsia="ru-RU"/>
    </w:rPr>
  </w:style>
  <w:style w:type="character" w:customStyle="1" w:styleId="ng-scope">
    <w:name w:val="ng-scope"/>
    <w:basedOn w:val="a0"/>
    <w:rsid w:val="000F6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4989">
      <w:bodyDiv w:val="1"/>
      <w:marLeft w:val="0"/>
      <w:marRight w:val="0"/>
      <w:marTop w:val="0"/>
      <w:marBottom w:val="0"/>
      <w:divBdr>
        <w:top w:val="none" w:sz="0" w:space="0" w:color="auto"/>
        <w:left w:val="none" w:sz="0" w:space="0" w:color="auto"/>
        <w:bottom w:val="none" w:sz="0" w:space="0" w:color="auto"/>
        <w:right w:val="none" w:sz="0" w:space="0" w:color="auto"/>
      </w:divBdr>
      <w:divsChild>
        <w:div w:id="1378433838">
          <w:marLeft w:val="0"/>
          <w:marRight w:val="0"/>
          <w:marTop w:val="0"/>
          <w:marBottom w:val="0"/>
          <w:divBdr>
            <w:top w:val="none" w:sz="0" w:space="0" w:color="auto"/>
            <w:left w:val="none" w:sz="0" w:space="0" w:color="auto"/>
            <w:bottom w:val="none" w:sz="0" w:space="0" w:color="auto"/>
            <w:right w:val="none" w:sz="0" w:space="0" w:color="auto"/>
          </w:divBdr>
        </w:div>
        <w:div w:id="2067995536">
          <w:marLeft w:val="0"/>
          <w:marRight w:val="0"/>
          <w:marTop w:val="0"/>
          <w:marBottom w:val="0"/>
          <w:divBdr>
            <w:top w:val="none" w:sz="0" w:space="0" w:color="auto"/>
            <w:left w:val="none" w:sz="0" w:space="0" w:color="auto"/>
            <w:bottom w:val="none" w:sz="0" w:space="0" w:color="auto"/>
            <w:right w:val="none" w:sz="0" w:space="0" w:color="auto"/>
          </w:divBdr>
        </w:div>
      </w:divsChild>
    </w:div>
    <w:div w:id="93018060">
      <w:bodyDiv w:val="1"/>
      <w:marLeft w:val="0"/>
      <w:marRight w:val="0"/>
      <w:marTop w:val="0"/>
      <w:marBottom w:val="0"/>
      <w:divBdr>
        <w:top w:val="none" w:sz="0" w:space="0" w:color="auto"/>
        <w:left w:val="none" w:sz="0" w:space="0" w:color="auto"/>
        <w:bottom w:val="none" w:sz="0" w:space="0" w:color="auto"/>
        <w:right w:val="none" w:sz="0" w:space="0" w:color="auto"/>
      </w:divBdr>
    </w:div>
    <w:div w:id="121507246">
      <w:bodyDiv w:val="1"/>
      <w:marLeft w:val="0"/>
      <w:marRight w:val="0"/>
      <w:marTop w:val="0"/>
      <w:marBottom w:val="0"/>
      <w:divBdr>
        <w:top w:val="none" w:sz="0" w:space="0" w:color="auto"/>
        <w:left w:val="none" w:sz="0" w:space="0" w:color="auto"/>
        <w:bottom w:val="none" w:sz="0" w:space="0" w:color="auto"/>
        <w:right w:val="none" w:sz="0" w:space="0" w:color="auto"/>
      </w:divBdr>
    </w:div>
    <w:div w:id="426002023">
      <w:bodyDiv w:val="1"/>
      <w:marLeft w:val="0"/>
      <w:marRight w:val="0"/>
      <w:marTop w:val="0"/>
      <w:marBottom w:val="0"/>
      <w:divBdr>
        <w:top w:val="none" w:sz="0" w:space="0" w:color="auto"/>
        <w:left w:val="none" w:sz="0" w:space="0" w:color="auto"/>
        <w:bottom w:val="none" w:sz="0" w:space="0" w:color="auto"/>
        <w:right w:val="none" w:sz="0" w:space="0" w:color="auto"/>
      </w:divBdr>
    </w:div>
    <w:div w:id="462888207">
      <w:bodyDiv w:val="1"/>
      <w:marLeft w:val="0"/>
      <w:marRight w:val="0"/>
      <w:marTop w:val="0"/>
      <w:marBottom w:val="0"/>
      <w:divBdr>
        <w:top w:val="none" w:sz="0" w:space="0" w:color="auto"/>
        <w:left w:val="none" w:sz="0" w:space="0" w:color="auto"/>
        <w:bottom w:val="none" w:sz="0" w:space="0" w:color="auto"/>
        <w:right w:val="none" w:sz="0" w:space="0" w:color="auto"/>
      </w:divBdr>
    </w:div>
    <w:div w:id="536281581">
      <w:bodyDiv w:val="1"/>
      <w:marLeft w:val="0"/>
      <w:marRight w:val="0"/>
      <w:marTop w:val="0"/>
      <w:marBottom w:val="0"/>
      <w:divBdr>
        <w:top w:val="none" w:sz="0" w:space="0" w:color="auto"/>
        <w:left w:val="none" w:sz="0" w:space="0" w:color="auto"/>
        <w:bottom w:val="none" w:sz="0" w:space="0" w:color="auto"/>
        <w:right w:val="none" w:sz="0" w:space="0" w:color="auto"/>
      </w:divBdr>
    </w:div>
    <w:div w:id="569731474">
      <w:bodyDiv w:val="1"/>
      <w:marLeft w:val="0"/>
      <w:marRight w:val="0"/>
      <w:marTop w:val="0"/>
      <w:marBottom w:val="0"/>
      <w:divBdr>
        <w:top w:val="none" w:sz="0" w:space="0" w:color="auto"/>
        <w:left w:val="none" w:sz="0" w:space="0" w:color="auto"/>
        <w:bottom w:val="none" w:sz="0" w:space="0" w:color="auto"/>
        <w:right w:val="none" w:sz="0" w:space="0" w:color="auto"/>
      </w:divBdr>
    </w:div>
    <w:div w:id="592780333">
      <w:bodyDiv w:val="1"/>
      <w:marLeft w:val="0"/>
      <w:marRight w:val="0"/>
      <w:marTop w:val="0"/>
      <w:marBottom w:val="0"/>
      <w:divBdr>
        <w:top w:val="none" w:sz="0" w:space="0" w:color="auto"/>
        <w:left w:val="none" w:sz="0" w:space="0" w:color="auto"/>
        <w:bottom w:val="none" w:sz="0" w:space="0" w:color="auto"/>
        <w:right w:val="none" w:sz="0" w:space="0" w:color="auto"/>
      </w:divBdr>
    </w:div>
    <w:div w:id="659622145">
      <w:bodyDiv w:val="1"/>
      <w:marLeft w:val="0"/>
      <w:marRight w:val="0"/>
      <w:marTop w:val="0"/>
      <w:marBottom w:val="0"/>
      <w:divBdr>
        <w:top w:val="none" w:sz="0" w:space="0" w:color="auto"/>
        <w:left w:val="none" w:sz="0" w:space="0" w:color="auto"/>
        <w:bottom w:val="none" w:sz="0" w:space="0" w:color="auto"/>
        <w:right w:val="none" w:sz="0" w:space="0" w:color="auto"/>
      </w:divBdr>
      <w:divsChild>
        <w:div w:id="1169758075">
          <w:marLeft w:val="0"/>
          <w:marRight w:val="0"/>
          <w:marTop w:val="0"/>
          <w:marBottom w:val="0"/>
          <w:divBdr>
            <w:top w:val="none" w:sz="0" w:space="0" w:color="auto"/>
            <w:left w:val="none" w:sz="0" w:space="0" w:color="auto"/>
            <w:bottom w:val="none" w:sz="0" w:space="0" w:color="auto"/>
            <w:right w:val="none" w:sz="0" w:space="0" w:color="auto"/>
          </w:divBdr>
        </w:div>
        <w:div w:id="1272931850">
          <w:marLeft w:val="0"/>
          <w:marRight w:val="0"/>
          <w:marTop w:val="0"/>
          <w:marBottom w:val="0"/>
          <w:divBdr>
            <w:top w:val="none" w:sz="0" w:space="0" w:color="auto"/>
            <w:left w:val="none" w:sz="0" w:space="0" w:color="auto"/>
            <w:bottom w:val="none" w:sz="0" w:space="0" w:color="auto"/>
            <w:right w:val="none" w:sz="0" w:space="0" w:color="auto"/>
          </w:divBdr>
        </w:div>
      </w:divsChild>
    </w:div>
    <w:div w:id="912815604">
      <w:bodyDiv w:val="1"/>
      <w:marLeft w:val="0"/>
      <w:marRight w:val="0"/>
      <w:marTop w:val="0"/>
      <w:marBottom w:val="0"/>
      <w:divBdr>
        <w:top w:val="none" w:sz="0" w:space="0" w:color="auto"/>
        <w:left w:val="none" w:sz="0" w:space="0" w:color="auto"/>
        <w:bottom w:val="none" w:sz="0" w:space="0" w:color="auto"/>
        <w:right w:val="none" w:sz="0" w:space="0" w:color="auto"/>
      </w:divBdr>
    </w:div>
    <w:div w:id="923998993">
      <w:bodyDiv w:val="1"/>
      <w:marLeft w:val="0"/>
      <w:marRight w:val="0"/>
      <w:marTop w:val="0"/>
      <w:marBottom w:val="0"/>
      <w:divBdr>
        <w:top w:val="none" w:sz="0" w:space="0" w:color="auto"/>
        <w:left w:val="none" w:sz="0" w:space="0" w:color="auto"/>
        <w:bottom w:val="none" w:sz="0" w:space="0" w:color="auto"/>
        <w:right w:val="none" w:sz="0" w:space="0" w:color="auto"/>
      </w:divBdr>
    </w:div>
    <w:div w:id="1030835845">
      <w:bodyDiv w:val="1"/>
      <w:marLeft w:val="0"/>
      <w:marRight w:val="0"/>
      <w:marTop w:val="0"/>
      <w:marBottom w:val="0"/>
      <w:divBdr>
        <w:top w:val="none" w:sz="0" w:space="0" w:color="auto"/>
        <w:left w:val="none" w:sz="0" w:space="0" w:color="auto"/>
        <w:bottom w:val="none" w:sz="0" w:space="0" w:color="auto"/>
        <w:right w:val="none" w:sz="0" w:space="0" w:color="auto"/>
      </w:divBdr>
    </w:div>
    <w:div w:id="1040593407">
      <w:bodyDiv w:val="1"/>
      <w:marLeft w:val="0"/>
      <w:marRight w:val="0"/>
      <w:marTop w:val="0"/>
      <w:marBottom w:val="0"/>
      <w:divBdr>
        <w:top w:val="none" w:sz="0" w:space="0" w:color="auto"/>
        <w:left w:val="none" w:sz="0" w:space="0" w:color="auto"/>
        <w:bottom w:val="none" w:sz="0" w:space="0" w:color="auto"/>
        <w:right w:val="none" w:sz="0" w:space="0" w:color="auto"/>
      </w:divBdr>
    </w:div>
    <w:div w:id="1121268122">
      <w:bodyDiv w:val="1"/>
      <w:marLeft w:val="0"/>
      <w:marRight w:val="0"/>
      <w:marTop w:val="0"/>
      <w:marBottom w:val="0"/>
      <w:divBdr>
        <w:top w:val="none" w:sz="0" w:space="0" w:color="auto"/>
        <w:left w:val="none" w:sz="0" w:space="0" w:color="auto"/>
        <w:bottom w:val="none" w:sz="0" w:space="0" w:color="auto"/>
        <w:right w:val="none" w:sz="0" w:space="0" w:color="auto"/>
      </w:divBdr>
    </w:div>
    <w:div w:id="1175222250">
      <w:bodyDiv w:val="1"/>
      <w:marLeft w:val="0"/>
      <w:marRight w:val="0"/>
      <w:marTop w:val="0"/>
      <w:marBottom w:val="0"/>
      <w:divBdr>
        <w:top w:val="none" w:sz="0" w:space="0" w:color="auto"/>
        <w:left w:val="none" w:sz="0" w:space="0" w:color="auto"/>
        <w:bottom w:val="none" w:sz="0" w:space="0" w:color="auto"/>
        <w:right w:val="none" w:sz="0" w:space="0" w:color="auto"/>
      </w:divBdr>
      <w:divsChild>
        <w:div w:id="22094527">
          <w:marLeft w:val="0"/>
          <w:marRight w:val="0"/>
          <w:marTop w:val="0"/>
          <w:marBottom w:val="0"/>
          <w:divBdr>
            <w:top w:val="none" w:sz="0" w:space="0" w:color="auto"/>
            <w:left w:val="none" w:sz="0" w:space="0" w:color="auto"/>
            <w:bottom w:val="none" w:sz="0" w:space="0" w:color="auto"/>
            <w:right w:val="none" w:sz="0" w:space="0" w:color="auto"/>
          </w:divBdr>
        </w:div>
        <w:div w:id="284703044">
          <w:marLeft w:val="0"/>
          <w:marRight w:val="0"/>
          <w:marTop w:val="0"/>
          <w:marBottom w:val="0"/>
          <w:divBdr>
            <w:top w:val="none" w:sz="0" w:space="0" w:color="auto"/>
            <w:left w:val="none" w:sz="0" w:space="0" w:color="auto"/>
            <w:bottom w:val="none" w:sz="0" w:space="0" w:color="auto"/>
            <w:right w:val="none" w:sz="0" w:space="0" w:color="auto"/>
          </w:divBdr>
        </w:div>
      </w:divsChild>
    </w:div>
    <w:div w:id="1218974400">
      <w:bodyDiv w:val="1"/>
      <w:marLeft w:val="0"/>
      <w:marRight w:val="0"/>
      <w:marTop w:val="0"/>
      <w:marBottom w:val="0"/>
      <w:divBdr>
        <w:top w:val="none" w:sz="0" w:space="0" w:color="auto"/>
        <w:left w:val="none" w:sz="0" w:space="0" w:color="auto"/>
        <w:bottom w:val="none" w:sz="0" w:space="0" w:color="auto"/>
        <w:right w:val="none" w:sz="0" w:space="0" w:color="auto"/>
      </w:divBdr>
    </w:div>
    <w:div w:id="1262879262">
      <w:bodyDiv w:val="1"/>
      <w:marLeft w:val="0"/>
      <w:marRight w:val="0"/>
      <w:marTop w:val="0"/>
      <w:marBottom w:val="0"/>
      <w:divBdr>
        <w:top w:val="none" w:sz="0" w:space="0" w:color="auto"/>
        <w:left w:val="none" w:sz="0" w:space="0" w:color="auto"/>
        <w:bottom w:val="none" w:sz="0" w:space="0" w:color="auto"/>
        <w:right w:val="none" w:sz="0" w:space="0" w:color="auto"/>
      </w:divBdr>
      <w:divsChild>
        <w:div w:id="51540765">
          <w:marLeft w:val="0"/>
          <w:marRight w:val="0"/>
          <w:marTop w:val="0"/>
          <w:marBottom w:val="0"/>
          <w:divBdr>
            <w:top w:val="none" w:sz="0" w:space="0" w:color="auto"/>
            <w:left w:val="none" w:sz="0" w:space="0" w:color="auto"/>
            <w:bottom w:val="none" w:sz="0" w:space="0" w:color="auto"/>
            <w:right w:val="none" w:sz="0" w:space="0" w:color="auto"/>
          </w:divBdr>
        </w:div>
      </w:divsChild>
    </w:div>
    <w:div w:id="1296761070">
      <w:bodyDiv w:val="1"/>
      <w:marLeft w:val="0"/>
      <w:marRight w:val="0"/>
      <w:marTop w:val="0"/>
      <w:marBottom w:val="0"/>
      <w:divBdr>
        <w:top w:val="none" w:sz="0" w:space="0" w:color="auto"/>
        <w:left w:val="none" w:sz="0" w:space="0" w:color="auto"/>
        <w:bottom w:val="none" w:sz="0" w:space="0" w:color="auto"/>
        <w:right w:val="none" w:sz="0" w:space="0" w:color="auto"/>
      </w:divBdr>
    </w:div>
    <w:div w:id="1634755290">
      <w:bodyDiv w:val="1"/>
      <w:marLeft w:val="0"/>
      <w:marRight w:val="0"/>
      <w:marTop w:val="0"/>
      <w:marBottom w:val="0"/>
      <w:divBdr>
        <w:top w:val="none" w:sz="0" w:space="0" w:color="auto"/>
        <w:left w:val="none" w:sz="0" w:space="0" w:color="auto"/>
        <w:bottom w:val="none" w:sz="0" w:space="0" w:color="auto"/>
        <w:right w:val="none" w:sz="0" w:space="0" w:color="auto"/>
      </w:divBdr>
    </w:div>
    <w:div w:id="1730225401">
      <w:bodyDiv w:val="1"/>
      <w:marLeft w:val="0"/>
      <w:marRight w:val="0"/>
      <w:marTop w:val="0"/>
      <w:marBottom w:val="0"/>
      <w:divBdr>
        <w:top w:val="none" w:sz="0" w:space="0" w:color="auto"/>
        <w:left w:val="none" w:sz="0" w:space="0" w:color="auto"/>
        <w:bottom w:val="none" w:sz="0" w:space="0" w:color="auto"/>
        <w:right w:val="none" w:sz="0" w:space="0" w:color="auto"/>
      </w:divBdr>
      <w:divsChild>
        <w:div w:id="386608912">
          <w:marLeft w:val="0"/>
          <w:marRight w:val="0"/>
          <w:marTop w:val="0"/>
          <w:marBottom w:val="0"/>
          <w:divBdr>
            <w:top w:val="none" w:sz="0" w:space="0" w:color="auto"/>
            <w:left w:val="none" w:sz="0" w:space="0" w:color="auto"/>
            <w:bottom w:val="none" w:sz="0" w:space="0" w:color="auto"/>
            <w:right w:val="none" w:sz="0" w:space="0" w:color="auto"/>
          </w:divBdr>
        </w:div>
        <w:div w:id="261301557">
          <w:marLeft w:val="0"/>
          <w:marRight w:val="0"/>
          <w:marTop w:val="0"/>
          <w:marBottom w:val="0"/>
          <w:divBdr>
            <w:top w:val="none" w:sz="0" w:space="0" w:color="auto"/>
            <w:left w:val="none" w:sz="0" w:space="0" w:color="auto"/>
            <w:bottom w:val="none" w:sz="0" w:space="0" w:color="auto"/>
            <w:right w:val="none" w:sz="0" w:space="0" w:color="auto"/>
          </w:divBdr>
        </w:div>
      </w:divsChild>
    </w:div>
    <w:div w:id="1912428618">
      <w:bodyDiv w:val="1"/>
      <w:marLeft w:val="0"/>
      <w:marRight w:val="0"/>
      <w:marTop w:val="0"/>
      <w:marBottom w:val="0"/>
      <w:divBdr>
        <w:top w:val="none" w:sz="0" w:space="0" w:color="auto"/>
        <w:left w:val="none" w:sz="0" w:space="0" w:color="auto"/>
        <w:bottom w:val="none" w:sz="0" w:space="0" w:color="auto"/>
        <w:right w:val="none" w:sz="0" w:space="0" w:color="auto"/>
      </w:divBdr>
    </w:div>
    <w:div w:id="196445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873FC-B3DA-4505-942D-DF328026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Николаевна Плотникова</dc:creator>
  <cp:lastModifiedBy>Марина Васильевна Ившина</cp:lastModifiedBy>
  <cp:revision>2</cp:revision>
  <cp:lastPrinted>2018-08-08T10:10:00Z</cp:lastPrinted>
  <dcterms:created xsi:type="dcterms:W3CDTF">2019-05-21T06:57:00Z</dcterms:created>
  <dcterms:modified xsi:type="dcterms:W3CDTF">2019-05-21T06:57:00Z</dcterms:modified>
</cp:coreProperties>
</file>