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71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</w:r>
          </w:p>
          <w:p>
            <w:pPr>
              <w:pStyle w:val="Style15"/>
              <w:widowControl w:val="false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Предоставление ежемесячной денежной выплаты отдельным категориям граждан в Курганской области</w:t>
            </w:r>
          </w:p>
        </w:tc>
      </w:tr>
      <w:tr>
        <w:trPr>
          <w:trHeight w:val="63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Орган, предоставляющий услугу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0"/>
              <w:jc w:val="lef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Предоставление гражданам ежемесячной денежной выплаты осуществляется государственными казенными учреждениями, подведомственными Департаменту социальной политики Курганской области, по месту жительства либо по месту пребывания граждан.</w:t>
            </w:r>
          </w:p>
          <w:p>
            <w:pPr>
              <w:pStyle w:val="Normal"/>
              <w:widowControl w:val="false"/>
              <w:spacing w:lineRule="auto" w:line="240" w:before="0" w:after="200"/>
              <w:jc w:val="left"/>
              <w:rPr/>
            </w:pPr>
            <w:r>
              <w:rPr/>
            </w:r>
          </w:p>
        </w:tc>
      </w:tr>
      <w:tr>
        <w:trPr>
          <w:trHeight w:val="772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Государственная услуга предоставляется гражданам Российской Федерации, проживающим на территории Курганской области: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1) лицам, проработавшим в тылу в </w:t>
            </w:r>
            <w:bookmarkStart w:id="0" w:name="_GoBack"/>
            <w:bookmarkEnd w:id="0"/>
            <w:r>
              <w:rPr>
                <w:rFonts w:cs="Arial" w:ascii="Arial" w:hAnsi="Arial"/>
                <w:sz w:val="20"/>
              </w:rPr>
              <w:t>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войны;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2) ветеранам труда, а также гражданам, приравненным к ним по состоянию на 31 декабря 2004 года, достигшим возраста 55 лет для женщин и 60 лет для мужчин, независимо от прекращения ими трудовой деятельности;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3) реабилитированным лицам и лицам, признанным пострадавшими от политических репрессий.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Гражданин может воспользоваться государственной услугой через законного представителя или доверенного лица (лицо, которое на основании доверенности уполномочено обращаться в учреждения за предоставлением государственной услуги).</w:t>
            </w:r>
          </w:p>
        </w:tc>
      </w:tr>
      <w:tr>
        <w:trPr>
          <w:trHeight w:val="63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-</w:t>
            </w:r>
            <w:hyperlink w:anchor="P1410">
              <w:r>
                <w:rPr>
                  <w:rFonts w:cs="Arial" w:ascii="Arial" w:hAnsi="Arial"/>
                  <w:color w:val="0000FF"/>
                  <w:sz w:val="20"/>
                </w:rPr>
                <w:t>заявление</w:t>
              </w:r>
            </w:hyperlink>
            <w:r>
              <w:rPr>
                <w:rFonts w:cs="Arial" w:ascii="Arial" w:hAnsi="Arial"/>
                <w:sz w:val="20"/>
              </w:rPr>
              <w:t xml:space="preserve"> о предоставлении ежемесячной денежной выплаты с указанием способа ее получения (через кредитную организацию путем зачисления ежемесячной денежной выплаты на счет заявителя, открытый им в кредитной организации, или через организацию федеральной почтовой связи)</w:t>
            </w:r>
          </w:p>
          <w:p>
            <w:pPr>
              <w:pStyle w:val="ConsPlusNormal"/>
              <w:widowControl w:val="false"/>
              <w:spacing w:before="220" w:after="0"/>
              <w:ind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- документ, удостоверяющий личность заявителя;</w:t>
            </w:r>
          </w:p>
          <w:p>
            <w:pPr>
              <w:pStyle w:val="ConsPlusNormal"/>
              <w:widowControl w:val="false"/>
              <w:spacing w:before="220" w:after="0"/>
              <w:ind w:hanging="0"/>
              <w:jc w:val="both"/>
              <w:rPr>
                <w:rFonts w:ascii="Arial" w:hAnsi="Arial" w:cs="Arial"/>
                <w:sz w:val="20"/>
              </w:rPr>
            </w:pPr>
            <w:bookmarkStart w:id="1" w:name="P163"/>
            <w:bookmarkEnd w:id="1"/>
            <w:r>
              <w:rPr>
                <w:rFonts w:cs="Arial" w:ascii="Arial" w:hAnsi="Arial"/>
                <w:sz w:val="20"/>
              </w:rPr>
              <w:t>-д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окумент, удостоверяющий личность представителя заявителя, и документ, подтверждающий его полномочия действовать от имени заявителя (в случае обращения представителя заявителя с заявлением).</w:t>
            </w:r>
          </w:p>
          <w:p>
            <w:pPr>
              <w:pStyle w:val="ConsPlusNormal"/>
              <w:widowControl w:val="false"/>
              <w:spacing w:before="220" w:after="0"/>
              <w:ind w:hanging="0"/>
              <w:jc w:val="both"/>
              <w:rPr/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-</w:t>
            </w:r>
            <w:hyperlink w:anchor="P1471">
              <w:r>
                <w:rPr>
                  <w:rFonts w:ascii="Arial" w:hAnsi="Arial"/>
                  <w:color w:val="0000FF"/>
                  <w:sz w:val="20"/>
                  <w:szCs w:val="20"/>
                </w:rPr>
                <w:t>согласие</w:t>
              </w:r>
            </w:hyperlink>
            <w:r>
              <w:rPr>
                <w:rFonts w:ascii="Arial" w:hAnsi="Arial"/>
                <w:sz w:val="20"/>
                <w:szCs w:val="20"/>
              </w:rPr>
              <w:t xml:space="preserve"> заявителя на обработку персональных данных.</w:t>
            </w:r>
          </w:p>
        </w:tc>
      </w:tr>
      <w:tr>
        <w:trPr>
          <w:trHeight w:val="627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Заявитель вправе самостоятельно представить документы (сведения):</w:t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-сведения о действительности паспорта гражданина Российской Федерации (для граждан Российской Федерации, относящихся к отдельным категориям граждан Российской Федерации ;</w:t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-сведения о соответствии фамильно-именной группы, даты рождения, пола и страхового номера индивидуального лицевого счета (СНИЛС) заявителя;</w:t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-документ (сведения) об отнесении заявителя к отдельным категориям граждан в соответствии с действующим законодательством;</w:t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-сведения о реабилитации заявителя, или о признании его пострадавшим от политических репрессий (для 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реабилитированных лиц и лиц, признанных пострадавшими от политических репрессий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);</w:t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-сведения о заключении (расторжении) брака заявителем (за исключением случаев регистрации записи соответствующего акта компетентным органом иностранного государства);</w:t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-сведения о регистрации по месту жительства (месту пребывания) заявителя в пределах Российской Федерации;</w:t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-сведения о предоставлении заявителю ежемесячной денежной выплаты, установленной федеральным законодательством.</w:t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  <w:p>
            <w:pPr>
              <w:pStyle w:val="Normal"/>
              <w:widowControl w:val="false"/>
              <w:spacing w:before="220" w:after="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</w:tr>
      <w:tr>
        <w:trPr>
          <w:trHeight w:val="900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sz w:val="20"/>
              </w:rPr>
              <w:t>Результатом предоставления государственной услуги является предоставление ежемесячной денежной выплаты либо отказ в предоставлении ежемесячной денежной выплаты</w:t>
            </w:r>
          </w:p>
        </w:tc>
      </w:tr>
      <w:tr>
        <w:trPr>
          <w:trHeight w:val="88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10 </w:t>
            </w:r>
            <w:r>
              <w:rPr>
                <w:rFonts w:cs="Arial" w:ascii="Arial" w:hAnsi="Arial"/>
                <w:sz w:val="20"/>
              </w:rPr>
              <w:t>рабочих</w:t>
            </w:r>
            <w:r>
              <w:rPr>
                <w:rFonts w:cs="Arial" w:ascii="Arial" w:hAnsi="Arial"/>
                <w:sz w:val="20"/>
              </w:rPr>
              <w:t xml:space="preserve"> дней, со дня поступления документов в </w:t>
            </w:r>
            <w:r>
              <w:rPr>
                <w:rFonts w:cs="Arial" w:ascii="Arial" w:hAnsi="Arial"/>
                <w:sz w:val="20"/>
              </w:rPr>
              <w:t>орган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бесплатно</w:t>
            </w:r>
          </w:p>
        </w:tc>
      </w:tr>
      <w:tr>
        <w:trPr>
          <w:trHeight w:val="173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val="1148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НПА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2" w:beforeAutospacing="1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0" w:hAnsi="0"/>
              </w:rPr>
              <w:t>ПОСТАНОВЛЕНИЕ от 21 декабря 2004 г. N 443 ОБ УТВЕРЖДЕНИИ ПОРЯДКА ПРЕДОСТАВЛЕНИЯ ЕЖЕМЕСЯЧНОЙ ДЕНЕЖНОЙ ВЫПЛАТЫ ОТДЕЛЬНЫМ КАТЕГОРИЯМ ГРАЖДАН В КУРГАНСКОЙ ОБЛАСТИ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0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FontStyle20" w:customStyle="1">
    <w:name w:val="Font Style20"/>
    <w:basedOn w:val="DefaultParagraphFont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-text-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-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425f1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Style2"/>
    <w:basedOn w:val="Normal"/>
    <w:uiPriority w:val="99"/>
    <w:qFormat/>
    <w:rsid w:val="00a2080e"/>
    <w:pPr>
      <w:widowControl w:val="false"/>
      <w:spacing w:lineRule="exact" w:line="233" w:before="0" w:after="0"/>
      <w:jc w:val="center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LibreOffice/7.5.3.2$Windows_X86_64 LibreOffice_project/9f56dff12ba03b9acd7730a5a481eea045e468f3</Application>
  <AppVersion>15.0000</AppVersion>
  <Pages>3</Pages>
  <Words>415</Words>
  <Characters>3140</Characters>
  <CharactersWithSpaces>3521</CharactersWithSpaces>
  <Paragraphs>35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2025-09-22T14:41:00Z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2025-09-24T09:19:13Z</dcterms:modified>
  <cp:revision>18</cp:revision>
  <dc:subject/>
  <dc:title>Постановление Администрации (Правительства) Курганской области от 21.12.2004 N 443(ред. от 04.09.2025)"Об утверждении Порядка предоставления ежемесячной денежной выплаты отдельным категориям граждан в Курганской области"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