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5000" w:type="pct"/>
        <w:jc w:val="left"/>
        <w:tblInd w:w="150" w:type="dxa"/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firstRow="1" w:noVBand="1" w:lastRow="0" w:firstColumn="1" w:lastColumn="0" w:noHBand="0" w:val="04a0"/>
      </w:tblPr>
      <w:tblGrid>
        <w:gridCol w:w="2353"/>
        <w:gridCol w:w="12499"/>
      </w:tblGrid>
      <w:tr>
        <w:trPr>
          <w:trHeight w:val="713" w:hRule="atLeast"/>
        </w:trPr>
        <w:tc>
          <w:tcPr>
            <w:tcW w:w="235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  <w:lang w:eastAsia="ru-RU"/>
              </w:rPr>
              <w:t>Наименование услуги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  <w:lang w:eastAsia="ru-RU"/>
              </w:rPr>
            </w:r>
          </w:p>
        </w:tc>
        <w:tc>
          <w:tcPr>
            <w:tcW w:w="12499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  <w:lang w:eastAsia="ru-RU"/>
              </w:rPr>
              <w:t>Назначение и выплата ежемесячной доплаты к страховой пенсии гражданам, имеющим особые заслуги и внесшим большой вклад в развитие Курганской области, и их семьям</w:t>
            </w:r>
          </w:p>
        </w:tc>
      </w:tr>
      <w:tr>
        <w:trPr>
          <w:trHeight w:val="631" w:hRule="atLeast"/>
        </w:trPr>
        <w:tc>
          <w:tcPr>
            <w:tcW w:w="235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  <w:lang w:eastAsia="ru-RU"/>
              </w:rPr>
              <w:t>Орган, предоставляющий услугу</w:t>
            </w:r>
          </w:p>
        </w:tc>
        <w:tc>
          <w:tcPr>
            <w:tcW w:w="12499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Style21"/>
              <w:widowControl w:val="false"/>
              <w:spacing w:lineRule="auto" w:line="240"/>
              <w:rPr/>
            </w:pPr>
            <w:r>
              <w:rPr>
                <w:rStyle w:val="FontStyle20"/>
                <w:rFonts w:cs="Arial" w:ascii="Arial" w:hAnsi="Arial"/>
                <w:sz w:val="20"/>
                <w:szCs w:val="20"/>
              </w:rPr>
              <w:t>Департамент социальной политики Курганской области</w:t>
            </w:r>
          </w:p>
        </w:tc>
      </w:tr>
      <w:tr>
        <w:trPr>
          <w:trHeight w:val="574" w:hRule="atLeast"/>
        </w:trPr>
        <w:tc>
          <w:tcPr>
            <w:tcW w:w="235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  <w:lang w:eastAsia="ru-RU"/>
              </w:rPr>
              <w:t>Заявители</w:t>
            </w:r>
          </w:p>
        </w:tc>
        <w:tc>
          <w:tcPr>
            <w:tcW w:w="12499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ConsPlusNormal"/>
              <w:widowControl w:val="false"/>
              <w:spacing w:before="220" w:after="0"/>
              <w:jc w:val="both"/>
              <w:rPr/>
            </w:pPr>
            <w:r>
              <w:rPr>
                <w:rFonts w:cs="Arial" w:ascii="Arial" w:hAnsi="Arial"/>
                <w:sz w:val="20"/>
                <w:szCs w:val="20"/>
              </w:rPr>
              <w:t xml:space="preserve">Заявителями на ежемесячную доплату к страховой пенсии являются лица, указанные в </w:t>
            </w:r>
            <w:hyperlink r:id="rId2">
              <w:r>
                <w:rPr>
                  <w:rFonts w:cs="Arial" w:ascii="Arial" w:hAnsi="Arial"/>
                  <w:color w:val="100F0F"/>
                  <w:sz w:val="20"/>
                  <w:szCs w:val="20"/>
                </w:rPr>
                <w:t>статье 1</w:t>
              </w:r>
            </w:hyperlink>
            <w:r>
              <w:rPr>
                <w:rFonts w:cs="Arial" w:ascii="Arial" w:hAnsi="Arial"/>
                <w:color w:val="100F0F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>Закона Курганской области от 2 июля 2002 года N 201 "О мерах социальной поддержки граждан, имеющих особые заслуги и внесших большой вклад в развитие Курганской области".</w:t>
            </w:r>
          </w:p>
          <w:p>
            <w:pPr>
              <w:pStyle w:val="Normal"/>
              <w:widowControl w:val="false"/>
              <w:spacing w:lineRule="atLeast" w:line="102" w:beforeAutospacing="1" w:after="0"/>
              <w:rPr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Гражданин может воспользоваться государственной услугой через доверенных лиц.</w:t>
            </w:r>
          </w:p>
        </w:tc>
      </w:tr>
      <w:tr>
        <w:trPr>
          <w:trHeight w:val="631" w:hRule="atLeast"/>
        </w:trPr>
        <w:tc>
          <w:tcPr>
            <w:tcW w:w="235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  <w:lang w:eastAsia="ru-RU"/>
              </w:rPr>
              <w:t>Обязательные документы</w:t>
            </w:r>
          </w:p>
        </w:tc>
        <w:tc>
          <w:tcPr>
            <w:tcW w:w="12499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Autospacing="1" w:afterAutospacing="1"/>
              <w:rPr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-заявление о предоставлении услуги;</w:t>
            </w:r>
          </w:p>
          <w:p>
            <w:pPr>
              <w:pStyle w:val="Normal"/>
              <w:widowControl w:val="false"/>
              <w:ind w:left="0" w:hanging="0"/>
              <w:jc w:val="both"/>
              <w:rPr>
                <w:sz w:val="20"/>
                <w:szCs w:val="20"/>
              </w:rPr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szCs w:val="20"/>
                <w:u w:val="none"/>
              </w:rPr>
              <w:t>Для назначения и выплаты ежемесячной доплаты к страховой пенсии лицам до достижения ими возраста 18 лет либо в случае обучения по очной форме в образовательной организации всех типов и видов независимо от их организационно-правовой формы дополнительно представляются:</w:t>
            </w:r>
          </w:p>
          <w:p>
            <w:pPr>
              <w:pStyle w:val="Normal"/>
              <w:widowControl w:val="false"/>
              <w:spacing w:before="200" w:after="200"/>
              <w:ind w:left="0" w:hanging="0"/>
              <w:jc w:val="both"/>
              <w:rPr>
                <w:sz w:val="20"/>
                <w:szCs w:val="20"/>
              </w:rPr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szCs w:val="20"/>
                <w:u w:val="none"/>
              </w:rPr>
              <w:t>-документ, подтверждающий рождение ребенка;</w:t>
            </w:r>
          </w:p>
          <w:p>
            <w:pPr>
              <w:pStyle w:val="Normal"/>
              <w:widowControl w:val="false"/>
              <w:spacing w:before="200" w:after="200"/>
              <w:ind w:left="0" w:hanging="0"/>
              <w:jc w:val="both"/>
              <w:rPr>
                <w:sz w:val="20"/>
                <w:szCs w:val="20"/>
              </w:rPr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szCs w:val="20"/>
                <w:u w:val="none"/>
              </w:rPr>
              <w:t>-документ, подтверждающий обучение ребенка старше 18 лет по очной форме в образовательной организации.</w:t>
            </w:r>
          </w:p>
        </w:tc>
      </w:tr>
      <w:tr>
        <w:trPr>
          <w:trHeight w:val="627" w:hRule="atLeast"/>
        </w:trPr>
        <w:tc>
          <w:tcPr>
            <w:tcW w:w="235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  <w:lang w:eastAsia="ru-RU"/>
              </w:rPr>
              <w:t>Необязательные документы</w:t>
            </w:r>
          </w:p>
        </w:tc>
        <w:tc>
          <w:tcPr>
            <w:tcW w:w="12499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Autospacing="1" w:after="0"/>
              <w:jc w:val="both"/>
              <w:rPr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-</w:t>
            </w:r>
            <w:bookmarkStart w:id="0" w:name="_GoBack"/>
            <w:bookmarkEnd w:id="0"/>
          </w:p>
        </w:tc>
      </w:tr>
      <w:tr>
        <w:trPr>
          <w:trHeight w:val="773" w:hRule="atLeast"/>
        </w:trPr>
        <w:tc>
          <w:tcPr>
            <w:tcW w:w="235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  <w:lang w:eastAsia="ru-RU"/>
              </w:rPr>
              <w:t>Результат</w:t>
            </w:r>
          </w:p>
        </w:tc>
        <w:tc>
          <w:tcPr>
            <w:tcW w:w="12499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ind w:left="0" w:hanging="0"/>
              <w:jc w:val="both"/>
              <w:rPr>
                <w:sz w:val="20"/>
                <w:szCs w:val="20"/>
              </w:rPr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szCs w:val="20"/>
                <w:u w:val="none"/>
              </w:rPr>
              <w:t>Решение о назначении либо отказе в назначении ежемесячной доплаты к страховой пенсии</w:t>
            </w:r>
          </w:p>
        </w:tc>
      </w:tr>
      <w:tr>
        <w:trPr>
          <w:trHeight w:val="885" w:hRule="atLeast"/>
        </w:trPr>
        <w:tc>
          <w:tcPr>
            <w:tcW w:w="235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  <w:lang w:eastAsia="ru-RU"/>
              </w:rPr>
              <w:t>Срок предоставления услуги</w:t>
            </w:r>
          </w:p>
        </w:tc>
        <w:tc>
          <w:tcPr>
            <w:tcW w:w="12499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ConsPlus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20 к</w:t>
            </w:r>
            <w:r>
              <w:rPr>
                <w:rFonts w:cs="Arial" w:ascii="Arial" w:hAnsi="Arial"/>
                <w:sz w:val="20"/>
                <w:szCs w:val="20"/>
              </w:rPr>
              <w:t>алендарных дней</w:t>
            </w:r>
          </w:p>
        </w:tc>
      </w:tr>
      <w:tr>
        <w:trPr/>
        <w:tc>
          <w:tcPr>
            <w:tcW w:w="235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  <w:lang w:eastAsia="ru-RU"/>
              </w:rPr>
              <w:t>Основания для отказа в приеме заявления</w:t>
            </w:r>
          </w:p>
        </w:tc>
        <w:tc>
          <w:tcPr>
            <w:tcW w:w="12499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57" w:after="0"/>
              <w:rPr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нет</w:t>
            </w:r>
          </w:p>
        </w:tc>
      </w:tr>
      <w:tr>
        <w:trPr>
          <w:trHeight w:val="523" w:hRule="atLeast"/>
        </w:trPr>
        <w:tc>
          <w:tcPr>
            <w:tcW w:w="235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  <w:lang w:eastAsia="ru-RU"/>
              </w:rPr>
              <w:t>Стоимость</w:t>
            </w:r>
          </w:p>
        </w:tc>
        <w:tc>
          <w:tcPr>
            <w:tcW w:w="12499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57" w:after="0"/>
              <w:rPr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бесплатно</w:t>
            </w:r>
          </w:p>
        </w:tc>
      </w:tr>
      <w:tr>
        <w:trPr>
          <w:trHeight w:val="1735" w:hRule="atLeast"/>
        </w:trPr>
        <w:tc>
          <w:tcPr>
            <w:tcW w:w="235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  <w:lang w:eastAsia="ru-RU"/>
              </w:rPr>
              <w:t>Иные требования, учитывающие особенности предоставления государственной услуги через МФЦ</w:t>
            </w:r>
          </w:p>
        </w:tc>
        <w:tc>
          <w:tcPr>
            <w:tcW w:w="12499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</w:r>
          </w:p>
        </w:tc>
      </w:tr>
      <w:tr>
        <w:trPr>
          <w:trHeight w:val="1148" w:hRule="atLeast"/>
        </w:trPr>
        <w:tc>
          <w:tcPr>
            <w:tcW w:w="235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  <w:lang w:eastAsia="ru-RU"/>
              </w:rPr>
              <w:t>НПА</w:t>
            </w:r>
          </w:p>
        </w:tc>
        <w:tc>
          <w:tcPr>
            <w:tcW w:w="12499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102" w:beforeAutospacing="1" w:after="0"/>
              <w:jc w:val="both"/>
              <w:rPr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Приказ Главного управления социальной защиты населения Курганской области от 12 августа 2016 года № 320 «Об утверждении Административного регламента предоставления государственных услуг по назначению и выплате ежемесячной доплаты к пенсии по инвалидности инвалидам боевых действий, проживающим на территории Курганской области, ежемесячной доплаты к пенсии проживающим на территории Курганской области родителям лиц, погибших (умерших) вследствие участия в боевых действиях в Афганистане, пожизненной ежемесячной персональной денежной выплаты лицам, удостоенным почетного звания Курганской области «Почетный гражданин Курганской области», ежемесячной доплаты к страховой пенсии гражданам, имеющим особые заслуги и внесшим большой вклад в развитие Курганской области, и их семьям, ежемесячного пособия вдовам (вдовцам) Героев Социалистического Труда, проживающим на территории Курганской области»</w:t>
            </w:r>
          </w:p>
        </w:tc>
      </w:tr>
    </w:tbl>
    <w:p>
      <w:pPr>
        <w:pStyle w:val="Normal"/>
        <w:spacing w:before="0" w:after="200"/>
        <w:jc w:val="right"/>
        <w:rPr>
          <w:rFonts w:ascii="Arial" w:hAnsi="Arial" w:cs="Arial"/>
          <w:sz w:val="21"/>
          <w:szCs w:val="21"/>
        </w:rPr>
      </w:pPr>
      <w:r>
        <w:rPr/>
      </w:r>
    </w:p>
    <w:sectPr>
      <w:type w:val="nextPage"/>
      <w:pgSz w:orient="landscape" w:w="16838" w:h="11906"/>
      <w:pgMar w:left="851" w:right="1134" w:gutter="0" w:header="0" w:top="426" w:footer="0" w:bottom="85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ourier New"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(Web)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link w:val="11"/>
    <w:uiPriority w:val="9"/>
    <w:qFormat/>
    <w:rsid w:val="000a15b1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Текст выноски Знак"/>
    <w:basedOn w:val="DefaultParagraphFont"/>
    <w:link w:val="BalloonText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styleId="11" w:customStyle="1">
    <w:name w:val="Заголовок 1 Знак"/>
    <w:basedOn w:val="DefaultParagraphFont"/>
    <w:uiPriority w:val="9"/>
    <w:qFormat/>
    <w:rsid w:val="000a15b1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-">
    <w:name w:val="Hyperlink"/>
    <w:basedOn w:val="DefaultParagraphFont"/>
    <w:uiPriority w:val="99"/>
    <w:semiHidden/>
    <w:unhideWhenUsed/>
    <w:rsid w:val="00564d10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8133ce"/>
    <w:rPr>
      <w:b/>
      <w:bCs/>
    </w:rPr>
  </w:style>
  <w:style w:type="character" w:styleId="FontStyle20" w:customStyle="1">
    <w:name w:val="Font Style20"/>
    <w:basedOn w:val="DefaultParagraphFont"/>
    <w:uiPriority w:val="99"/>
    <w:qFormat/>
    <w:rsid w:val="00a2080e"/>
    <w:rPr>
      <w:rFonts w:ascii="Times New Roman" w:hAnsi="Times New Roman" w:cs="Times New Roman"/>
      <w:sz w:val="18"/>
      <w:szCs w:val="18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Style13"/>
    <w:uiPriority w:val="99"/>
    <w:semiHidden/>
    <w:unhideWhenUsed/>
    <w:qFormat/>
    <w:rsid w:val="0023637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66e5"/>
    <w:pPr>
      <w:spacing w:before="0" w:after="200"/>
      <w:ind w:left="720" w:hanging="0"/>
      <w:contextualSpacing/>
    </w:pPr>
    <w:rPr/>
  </w:style>
  <w:style w:type="paragraph" w:styleId="ConsPlusTitle" w:customStyle="1">
    <w:name w:val="ConsPlusTitle"/>
    <w:qFormat/>
    <w:rsid w:val="001f41f3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b/>
      <w:color w:val="auto"/>
      <w:kern w:val="0"/>
      <w:sz w:val="22"/>
      <w:szCs w:val="20"/>
      <w:lang w:val="ru-RU" w:eastAsia="ru-RU" w:bidi="ar-SA"/>
    </w:rPr>
  </w:style>
  <w:style w:type="paragraph" w:styleId="ConsPlusNormal" w:customStyle="1">
    <w:name w:val="ConsPlusNormal"/>
    <w:qFormat/>
    <w:rsid w:val="0039620a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styleId="NormalWeb">
    <w:name w:val="Normal (Web)"/>
    <w:basedOn w:val="Normal"/>
    <w:uiPriority w:val="99"/>
    <w:unhideWhenUsed/>
    <w:qFormat/>
    <w:rsid w:val="004b3fc2"/>
    <w:pPr>
      <w:spacing w:lineRule="auto" w:line="240" w:beforeAutospacing="1" w:after="0"/>
      <w:jc w:val="both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paragraph" w:styleId="Western" w:customStyle="1">
    <w:name w:val="western"/>
    <w:basedOn w:val="Normal"/>
    <w:qFormat/>
    <w:rsid w:val="006c56f7"/>
    <w:pPr>
      <w:spacing w:lineRule="auto" w:line="240" w:beforeAutospacing="1" w:after="0"/>
      <w:jc w:val="both"/>
    </w:pPr>
    <w:rPr>
      <w:rFonts w:ascii="Liberation Sans" w:hAnsi="Liberation Sans" w:eastAsia="Times New Roman" w:cs="Liberation Sans"/>
      <w:color w:val="000000"/>
      <w:sz w:val="24"/>
      <w:szCs w:val="24"/>
      <w:lang w:eastAsia="ru-RU"/>
    </w:rPr>
  </w:style>
  <w:style w:type="paragraph" w:styleId="Frgu-text-title" w:customStyle="1">
    <w:name w:val="frgu-text-title"/>
    <w:basedOn w:val="Normal"/>
    <w:qFormat/>
    <w:rsid w:val="00762a9b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Ng-binding" w:customStyle="1">
    <w:name w:val="ng-binding"/>
    <w:basedOn w:val="Normal"/>
    <w:qFormat/>
    <w:rsid w:val="00762a9b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ConsPlusCell" w:customStyle="1">
    <w:name w:val="ConsPlusCell"/>
    <w:qFormat/>
    <w:rsid w:val="003212fa"/>
    <w:pPr>
      <w:widowControl w:val="false"/>
      <w:suppressAutoHyphens w:val="tru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ConsPlusDocList" w:customStyle="1">
    <w:name w:val="ConsPlusDocList"/>
    <w:qFormat/>
    <w:rsid w:val="00425f17"/>
    <w:pPr>
      <w:widowControl w:val="false"/>
      <w:suppressAutoHyphens w:val="tru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Style21" w:customStyle="1">
    <w:name w:val="Style2"/>
    <w:basedOn w:val="Normal"/>
    <w:uiPriority w:val="99"/>
    <w:qFormat/>
    <w:rsid w:val="00a2080e"/>
    <w:pPr>
      <w:widowControl w:val="false"/>
      <w:spacing w:lineRule="exact" w:line="233" w:before="0" w:after="0"/>
      <w:jc w:val="center"/>
    </w:pPr>
    <w:rPr>
      <w:rFonts w:ascii="Times New Roman" w:hAnsi="Times New Roman" w:eastAsia="" w:cs="Times New Roman" w:eastAsiaTheme="minorEastAsia"/>
      <w:color w:val="00000A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CF8C09A5C415A784292331BEBBBCCE9A1017C108246149B2EE23E6F5205231CE25A1C5B4216186173CD1E39FA846A3A9D2C95F98A7C806175F771An7g2E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Application>LibreOffice/7.5.3.2$Windows_X86_64 LibreOffice_project/9f56dff12ba03b9acd7730a5a481eea045e468f3</Application>
  <AppVersion>15.0000</AppVersion>
  <Pages>2</Pages>
  <Words>289</Words>
  <Characters>2017</Characters>
  <CharactersWithSpaces>2282</CharactersWithSpaces>
  <Paragraphs>25</Paragraphs>
  <Company>КонсультантПлюс Версия 4025.00.02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2026-02-05T15:55:00Z</dcterms:created>
  <dc:creator>Надежда Николаевна Плотникова</dc:creator>
  <dc:description/>
  <dc:language>ru-RU</dc:language>
  <cp:lastModifiedBy/>
  <cp:lastPrinted>2018-08-08T10:10:00Z</cp:lastPrinted>
  <dcterms:modified xsi:type="dcterms:W3CDTF">2026-02-10T15:17:27Z</dcterms:modified>
  <cp:revision>9</cp:revision>
  <dc:subject/>
  <dc:title>Приказ Главного управления социальной защиты населения Курганской области от 02.06.2020 N 219"О внесении изменений в Приказ Главного управления социальной защиты населения Курганской области от 12 августа 2016 года N 320 "Об утверждении Административного регламента предоставления государственных услуг по назначению и выплате ежемесячной доплаты к пенсии по инвалидности инвалидам боевых действий, проживающим на территории Курганской области, ежемесячной доплаты к пенсии проживающим на территории Курганской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