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353"/>
        <w:gridCol w:w="12499"/>
      </w:tblGrid>
      <w:tr>
        <w:trPr>
          <w:trHeight w:val="713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 в Курганской области</w:t>
            </w:r>
          </w:p>
        </w:tc>
      </w:tr>
      <w:tr>
        <w:trPr>
          <w:trHeight w:val="631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Орган, предоставляющий услугу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Предоставление компенсации осуществляется государственными казенными учреждениями, подведомственными Департаменту социальной политики Курганской области, по месту жительства либо по месту пребывания гражданина</w:t>
            </w:r>
            <w:r>
              <w:rPr>
                <w:rStyle w:val="FontStyle20"/>
                <w:rFonts w:cs="Arial"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.</w:t>
            </w:r>
          </w:p>
        </w:tc>
      </w:tr>
      <w:tr>
        <w:trPr>
          <w:trHeight w:val="772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lef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 xml:space="preserve">Компенсация предоставляется в соответствии с </w:t>
            </w:r>
            <w:hyperlink r:id="rId2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00"/>
                  <w:sz w:val="24"/>
                  <w:szCs w:val="24"/>
                  <w:u w:val="none"/>
                </w:rPr>
                <w:t xml:space="preserve"> Кург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анской области от 3 декабря 2004 года N 845 "О мерах социальной поддержки отдельных категорий граждан в Курганской области" следующим категориям граждан:</w:t>
            </w:r>
          </w:p>
          <w:p>
            <w:pPr>
              <w:pStyle w:val="Normal"/>
              <w:spacing w:before="200" w:after="200"/>
              <w:ind w:lef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1) одиноко проживающим неработающим собственникам жилых помещений, достигшим возраста семидесяти лет;</w:t>
            </w:r>
          </w:p>
          <w:p>
            <w:pPr>
              <w:pStyle w:val="Normal"/>
              <w:spacing w:before="200" w:after="200"/>
              <w:ind w:lef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2) одиноко проживающим неработающим собственникам жилых помещений, достигшим возраста восьмидесяти лет;</w:t>
            </w:r>
          </w:p>
          <w:p>
            <w:pPr>
              <w:pStyle w:val="Normal"/>
              <w:spacing w:before="200" w:after="200"/>
              <w:ind w:lef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3) собственникам жилых помещений, достигшим возраста семидесяти лет, проживающим в составе семьи, состоящей только из совместно проживающих неработающих граждан пенсионного возраста и (или) неработающих граждан, достигших возраста 55 лет для женщин и 60 лет для мужчин, и (или) неработающих инвалидов I и (или) II групп;</w:t>
            </w:r>
          </w:p>
          <w:p>
            <w:pPr>
              <w:pStyle w:val="Normal"/>
              <w:spacing w:before="200" w:after="200"/>
              <w:ind w:lef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4) собственникам жилых помещений, достигшим возраста восьмидесяти лет, проживающим в составе семьи, состоящей только из совместно проживающих неработающих граждан пенсионного возраста и (или) неработающих граждан, достигших возраста 55 лет для женщин и 60 лет для мужчин, и (или) неработающих инвалидов I и (или) II групп.</w:t>
            </w:r>
          </w:p>
          <w:p>
            <w:pPr>
              <w:pStyle w:val="Normal"/>
              <w:spacing w:before="200" w:after="200"/>
              <w:ind w:lef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Компенсация также предоставляется в случае временного отсутствия проживающих совместно с гражданином граждан, не достигших пенсионного возраста, и (или) не достигших возраста 55 лет для женщин и 60 лет для мужчин, и (или) не являющихся инвалидами I и (или) II групп (регистрация в установленном порядке по месту пребывания, прохождение военной службы по призыву, отбывание наказания в виде лишения свободы).</w:t>
            </w:r>
          </w:p>
          <w:p>
            <w:pPr>
              <w:pStyle w:val="Normal"/>
              <w:spacing w:before="200" w:after="200"/>
              <w:ind w:lef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Компенсация предоставляется в отношении одного жилого помещения в многоквартирном доме, принадлежащего гражданину на праве собственности, используемого в качестве места жительства.</w:t>
            </w:r>
          </w:p>
          <w:p>
            <w:pPr>
              <w:pStyle w:val="Normal"/>
              <w:spacing w:before="200" w:after="200"/>
              <w:ind w:lef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Компенсация предоставляется при соблюдении следующих условий:</w:t>
            </w:r>
          </w:p>
          <w:p>
            <w:pPr>
              <w:pStyle w:val="Normal"/>
              <w:spacing w:before="200" w:after="200"/>
              <w:ind w:lef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1) в отношении жилого помещения, в котором проживает гражданин, осуществляется начисление взноса на капитальный ремонт общего имущества в многоквартирном доме (далее - взнос на капитальный ремонт);</w:t>
            </w:r>
          </w:p>
          <w:p>
            <w:pPr>
              <w:pStyle w:val="Normal"/>
              <w:spacing w:before="200" w:after="200"/>
              <w:ind w:lef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2) жилое помещение, в отношении которого предоставляется компенсация, принадлежит гражданину на праве собственности (независимо от доли в праве собственности);</w:t>
            </w:r>
          </w:p>
          <w:p>
            <w:pPr>
              <w:pStyle w:val="Normal"/>
              <w:spacing w:before="200" w:after="200"/>
              <w:ind w:lef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3) у гражданина отсутствует задолженность по уплате взноса на капитальный ремонт;</w:t>
            </w:r>
          </w:p>
          <w:p>
            <w:pPr>
              <w:pStyle w:val="Normal"/>
              <w:spacing w:before="200" w:after="200"/>
              <w:ind w:lef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4) гражданин не является получателем компенсации расходов на уплату взноса на капитальный ремонт в составе меры социальной поддержки на оплату жилого помещения и коммунальных услуг, установленной иными нормативными правовыми актами.</w:t>
            </w:r>
          </w:p>
          <w:p>
            <w:pPr>
              <w:pStyle w:val="Normal"/>
              <w:spacing w:before="200" w:after="200"/>
              <w:ind w:lef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Предоставление компенсации осуществляется государственным казенным учреждением "Центр социальной поддержки Курганской области" по месту жительства гражданина на основании сведений о начисленном взносе на капитальный ремонт.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990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360"/>
              <w:ind w:hanging="0"/>
              <w:jc w:val="left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1. </w:t>
            </w:r>
            <w:hyperlink w:anchor="P1586">
              <w:r>
                <w:rPr>
                  <w:rFonts w:cs="Arial" w:ascii="Arial" w:hAnsi="Arial"/>
                  <w:color w:val="000000"/>
                  <w:sz w:val="24"/>
                  <w:szCs w:val="24"/>
                </w:rPr>
                <w:t>заявление</w:t>
              </w:r>
            </w:hyperlink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о н</w:t>
            </w:r>
            <w:r>
              <w:rPr>
                <w:rFonts w:cs="Arial" w:ascii="Arial" w:hAnsi="Arial"/>
                <w:sz w:val="24"/>
                <w:szCs w:val="24"/>
              </w:rPr>
              <w:t>азначении компенсации;</w:t>
            </w:r>
          </w:p>
          <w:p>
            <w:pPr>
              <w:pStyle w:val="ConsPlusNormal"/>
              <w:widowControl w:val="false"/>
              <w:spacing w:lineRule="auto" w:line="360"/>
              <w:ind w:hanging="0"/>
              <w:jc w:val="left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2. </w:t>
            </w:r>
            <w:hyperlink w:anchor="P1670">
              <w:r>
                <w:rPr>
                  <w:rFonts w:cs="Arial" w:ascii="Arial" w:hAnsi="Arial"/>
                  <w:color w:val="000000"/>
                  <w:sz w:val="24"/>
                  <w:szCs w:val="24"/>
                </w:rPr>
                <w:t>согласие</w:t>
              </w:r>
            </w:hyperlink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на обработку персональных данных заявителя;</w:t>
            </w:r>
          </w:p>
          <w:p>
            <w:pPr>
              <w:pStyle w:val="Normal"/>
              <w:widowControl w:val="false"/>
              <w:spacing w:lineRule="auto" w:line="36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3.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д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окумент, удостоверяющий право собственности на жилое помещение, в случае если право собственности не зарегистрировано в Едином государственном реестре недвижимости;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4.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с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ведения о прохождении гражданином, совместно проживающим с заявителем, военной службы по призыву;</w:t>
            </w:r>
          </w:p>
          <w:p>
            <w:pPr>
              <w:pStyle w:val="Normal"/>
              <w:widowControl w:val="false"/>
              <w:spacing w:lineRule="auto" w:line="240" w:before="200" w:after="20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5. документ, удостоверяющий личность представителя заявителя, и документ, подтверждающий его полномочия действовать от имени заявителя (в случае обращения представителя заявителя с заявлением);</w:t>
            </w:r>
          </w:p>
          <w:p>
            <w:pPr>
              <w:pStyle w:val="Normal"/>
              <w:widowControl w:val="false"/>
              <w:spacing w:lineRule="auto" w:line="240" w:before="200" w:after="20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6. </w:t>
            </w:r>
            <w:r>
              <w:rPr>
                <w:rFonts w:cs="Arial" w:ascii="Arial" w:hAnsi="Arial"/>
                <w:sz w:val="24"/>
                <w:szCs w:val="24"/>
              </w:rPr>
              <w:t>согласие на обработку персональных данных каждого совместно проживающего с заявителем неработающего гражданина пенсионного возраста и (или) неработающего гражданина, достигшего возраста 55 лет для женщин и 60 лет для мужчин, и (или) неработающего инвалида I и (или) II групп для заявителей;</w:t>
            </w:r>
          </w:p>
          <w:p>
            <w:pPr>
              <w:pStyle w:val="Normal"/>
              <w:widowControl w:val="false"/>
              <w:spacing w:lineRule="auto" w:line="240" w:before="200" w:after="20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7. с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ведения об отбывании гражданином, совместно проживающим с заявителем, наказания в виде лишения свободы;</w:t>
            </w:r>
          </w:p>
          <w:p>
            <w:pPr>
              <w:pStyle w:val="Normal"/>
              <w:widowControl w:val="false"/>
              <w:spacing w:lineRule="auto" w:line="240" w:before="200" w:after="20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8. с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удебный акт, устанавливающий факт проживания заявителя в жилом помещении либо подтверждающий, что заявитель проживает в жилом помещении один (в соответствующих случаях)</w:t>
            </w:r>
          </w:p>
          <w:p>
            <w:pPr>
              <w:pStyle w:val="Normal"/>
              <w:widowControl w:val="false"/>
              <w:spacing w:lineRule="auto" w:line="240" w:before="200" w:after="20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9. п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латежные документы (единый платежный документ) для внесения платы за содержание и ремонт жилого помещения и предоставление коммунальных услуг за месяц, подтверждающий начисление взноса на капитальный ремонт общего имущества в многоквартирном доме, предшествующий месяцу обращения заявителя за назначением компенсации</w:t>
            </w:r>
          </w:p>
          <w:p>
            <w:pPr>
              <w:pStyle w:val="Normal"/>
              <w:widowControl w:val="false"/>
              <w:spacing w:lineRule="auto" w:line="240" w:before="200" w:after="20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10. д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окумент, удостоверяющий личность представителя заявителя, и документ, подтверждающий его полномочия действовать от имени заявителя (в случае обращения представителя заявителя с заявлением).</w:t>
            </w:r>
          </w:p>
          <w:p>
            <w:pPr>
              <w:pStyle w:val="ConsPlusNormal"/>
              <w:widowControl w:val="false"/>
              <w:spacing w:lineRule="auto" w:line="240" w:before="220" w:after="0"/>
              <w:ind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Копии документов предъявляются вместе с подлинниками или заверенные в установленном порядке.</w:t>
            </w:r>
          </w:p>
        </w:tc>
      </w:tr>
      <w:tr>
        <w:trPr>
          <w:trHeight w:val="627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 xml:space="preserve">1. 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д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окумент (сведения) о правах отдельного лица на имевшиеся (имеющиеся) у него объекты недвижимости, содержащиеся в Едином государственном реестре недвижимости;</w:t>
            </w:r>
          </w:p>
          <w:p>
            <w:pPr>
              <w:pStyle w:val="Normal"/>
              <w:widowControl w:val="false"/>
              <w:spacing w:lineRule="auto" w:line="240" w:before="200" w:after="20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2.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с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ведения об основных характеристиках и правах на жилое помещение, содержащиеся в Едином государственном реестре недвижимости;</w:t>
            </w:r>
          </w:p>
          <w:p>
            <w:pPr>
              <w:pStyle w:val="Normal"/>
              <w:widowControl w:val="false"/>
              <w:spacing w:lineRule="auto" w:line="240" w:before="200" w:after="20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3.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с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ведения о регистрации по месту жительства и месту пребывания гражданина Российской Федерации в пределах Российской Федерации;</w:t>
            </w:r>
          </w:p>
          <w:p>
            <w:pPr>
              <w:pStyle w:val="Normal"/>
              <w:widowControl w:val="false"/>
              <w:spacing w:lineRule="auto" w:line="240" w:before="200" w:after="20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4.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д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окумент (сведения) о трудовой деятельности заявителя, а также совместно проживающих с заявителем граждан пенсионного возраста и (или) граждан, достигших возраста 55 лет для женщин и 60 лет для мужчин, и (или) инвалидов I и (или) II групп;</w:t>
            </w:r>
          </w:p>
          <w:p>
            <w:pPr>
              <w:pStyle w:val="Normal"/>
              <w:widowControl w:val="false"/>
              <w:spacing w:lineRule="auto" w:line="240" w:before="200" w:after="20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5. с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ведения о предоставлении заявителю компенсации расходов на уплату взноса на капитальный ремонт в составе меры социальной поддержки по оплате жилого помещения и коммунальных услуг, установленной иными нормативными правовыми актами.</w:t>
            </w:r>
          </w:p>
        </w:tc>
      </w:tr>
      <w:tr>
        <w:trPr>
          <w:trHeight w:val="880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Результатом предоставления государственной услуги является предоставление компенсации или отказ в предоставлении компенсации.</w:t>
            </w:r>
          </w:p>
        </w:tc>
      </w:tr>
      <w:tr>
        <w:trPr>
          <w:trHeight w:val="885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Решение о назначении компенсации (об отказе в назначении компенсации) принимается в течение десяти рабочих дней со дня приема (регистрации) заявления о назначении компенсации со всеми необходимыми документами</w:t>
            </w:r>
          </w:p>
        </w:tc>
      </w:tr>
      <w:tr>
        <w:trPr/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1148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НПА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Приказ Главного Управления социальной защиты населения Курганской области № 108 от 11.03.2019 г. «Об утверждении Административного </w:t>
            </w:r>
            <w:hyperlink w:anchor="P45">
              <w:r>
                <w:rPr>
                  <w:rFonts w:cs="Arial" w:ascii="Arial" w:hAnsi="Arial"/>
                  <w:sz w:val="24"/>
                  <w:szCs w:val="24"/>
                </w:rPr>
                <w:t>регламент</w:t>
              </w:r>
            </w:hyperlink>
            <w:r>
              <w:rPr>
                <w:rFonts w:cs="Arial" w:ascii="Arial" w:hAnsi="Arial"/>
                <w:sz w:val="24"/>
                <w:szCs w:val="24"/>
              </w:rPr>
              <w:t>а предоставления государственной услуги по предоставлению компенсации расходов на уплату взноса на капитальный ремонт общего имущества в многоквартирном доме отдельным категориям граждан в Курганской области»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ПРАВИТЕЛЬСТВО КУРГАНСКОЙ ОБЛАСТИ ПОСТАНОВЛЕНИЕ от 20 июня 2016 г. N 184 ОБ УТВЕРЖДЕНИИ ПОРЯДКА ПРЕДОСТАВЛЕНИЯ КОМПЕНСАЦИИ РАСХОДОВ НА УПЛАТУ ВЗНОСА НА КАПИТАЛЬНЫЙ РЕМОНТ ОБЩЕГО ИМУЩЕСТВА В МНОГОКВАРТИРНОМ ДОМЕ ОТДЕЛЬНЫМ КАТЕГОРИЯМ ГРАЖДАН В КУРГАНСКОЙ ОБЛАСТИ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425f1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273&amp;n=7805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LibreOffice/7.5.3.2$Windows_X86_64 LibreOffice_project/9f56dff12ba03b9acd7730a5a481eea045e468f3</Application>
  <AppVersion>15.0000</AppVersion>
  <Pages>5</Pages>
  <Words>856</Words>
  <Characters>6009</Characters>
  <CharactersWithSpaces>6819</CharactersWithSpaces>
  <Paragraphs>48</Paragraphs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2026-04-27T15:00:00Z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2026-04-27T15:07:45Z</dcterms:modified>
  <cp:revision>13</cp:revision>
  <dc:subject/>
  <dc:title>Постановление Правительства Курганской области от 20.06.2016 N 184(ред. от 08.04.2026)"Об утверждении Порядка предоставления компенсации расходов на уплату взноса на капитальный ремонт общего имущества в многоквартирном доме отдельным категориям граждан в Курганской области"(вместе с "Перечнем документов (сведений), необходимых для назначения компенсации расходов на уплату взноса на капитальный ремонт общего имущества в многоквартирном доме отдельным категориям граждан в Курганской области")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