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5000" w:type="pct"/>
        <w:jc w:val="left"/>
        <w:tblInd w:w="150" w:type="dxa"/>
        <w:tblLayout w:type="fixed"/>
        <w:tblCellMar>
          <w:top w:w="150" w:type="dxa"/>
          <w:left w:w="150" w:type="dxa"/>
          <w:bottom w:w="150" w:type="dxa"/>
          <w:right w:w="150" w:type="dxa"/>
        </w:tblCellMar>
        <w:tblLook w:firstRow="1" w:noVBand="1" w:lastRow="0" w:firstColumn="1" w:lastColumn="0" w:noHBand="0" w:val="04a0"/>
      </w:tblPr>
      <w:tblGrid>
        <w:gridCol w:w="2353"/>
        <w:gridCol w:w="12499"/>
      </w:tblGrid>
      <w:tr>
        <w:trPr>
          <w:trHeight w:val="713" w:hRule="atLeast"/>
        </w:trPr>
        <w:tc>
          <w:tcPr>
            <w:tcW w:w="2353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  <w:lang w:eastAsia="ru-RU"/>
              </w:rPr>
              <w:t>Наименование услуги</w:t>
            </w:r>
          </w:p>
        </w:tc>
        <w:tc>
          <w:tcPr>
            <w:tcW w:w="12499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  <w:lang w:eastAsia="ru-RU"/>
              </w:rPr>
              <w:t>Предоставление компенсации расходов на уплату взноса на капитальный ремонт общего имущества в многоквартирном доме отдельным категориям граждан в Курганской области</w:t>
            </w:r>
          </w:p>
        </w:tc>
      </w:tr>
      <w:tr>
        <w:trPr>
          <w:trHeight w:val="631" w:hRule="atLeast"/>
        </w:trPr>
        <w:tc>
          <w:tcPr>
            <w:tcW w:w="2353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  <w:lang w:eastAsia="ru-RU"/>
              </w:rPr>
              <w:t>Орган, предоставляющий услугу</w:t>
            </w:r>
          </w:p>
        </w:tc>
        <w:tc>
          <w:tcPr>
            <w:tcW w:w="12499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ind w:left="0" w:hanging="0"/>
              <w:jc w:val="both"/>
              <w:rPr/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Предоставление компенсации осуществляется государственными казенными учреждениями, подведомственными Департаменту социальной политики Курганской области, по месту жительства либо по месту пребывания гражданина</w:t>
            </w:r>
            <w:r>
              <w:rPr>
                <w:rStyle w:val="FontStyle20"/>
                <w:rFonts w:cs="Arial" w:ascii="Arial" w:hAnsi="Arial"/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.</w:t>
            </w:r>
          </w:p>
        </w:tc>
      </w:tr>
      <w:tr>
        <w:trPr>
          <w:trHeight w:val="772" w:hRule="atLeast"/>
        </w:trPr>
        <w:tc>
          <w:tcPr>
            <w:tcW w:w="2353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  <w:lang w:eastAsia="ru-RU"/>
              </w:rPr>
              <w:t>Заявители</w:t>
            </w:r>
          </w:p>
        </w:tc>
        <w:tc>
          <w:tcPr>
            <w:tcW w:w="12499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ind w:left="0" w:hanging="0"/>
              <w:jc w:val="both"/>
              <w:rPr/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color w:val="000000"/>
                <w:sz w:val="24"/>
                <w:szCs w:val="24"/>
                <w:u w:val="none"/>
              </w:rPr>
              <w:t xml:space="preserve"> 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color w:val="000000"/>
                <w:sz w:val="24"/>
                <w:szCs w:val="24"/>
                <w:u w:val="none"/>
              </w:rPr>
              <w:t xml:space="preserve">Компенсация предоставляется в соответствии с </w:t>
            </w:r>
            <w:hyperlink r:id="rId2">
              <w:r>
                <w:rPr>
                  <w:rFonts w:ascii="Arial" w:hAnsi="Arial"/>
                  <w:b w:val="false"/>
                  <w:i w:val="false"/>
                  <w:strike w:val="false"/>
                  <w:dstrike w:val="false"/>
                  <w:color w:val="000000"/>
                  <w:sz w:val="24"/>
                  <w:szCs w:val="24"/>
                  <w:u w:val="none"/>
                </w:rPr>
                <w:t xml:space="preserve"> Кург</w:t>
              </w:r>
            </w:hyperlink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анской области от 3 декабря 2004 года N 845 "О мерах социальной поддержки отдельных категорий граждан в Курганской области" следующим категориям граждан:</w:t>
            </w:r>
          </w:p>
          <w:p>
            <w:pPr>
              <w:pStyle w:val="Normal"/>
              <w:spacing w:before="200" w:after="200"/>
              <w:ind w:left="0" w:firstLine="54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1) одиноко проживающим неработающим собственникам жилых помещений, достигшим возраста семидесяти лет;</w:t>
            </w:r>
          </w:p>
          <w:p>
            <w:pPr>
              <w:pStyle w:val="Normal"/>
              <w:spacing w:before="200" w:after="200"/>
              <w:ind w:left="0" w:firstLine="54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2) одиноко проживающим неработающим собственникам жилых помещений, достигшим возраста восьмидесяти лет;</w:t>
            </w:r>
          </w:p>
          <w:p>
            <w:pPr>
              <w:pStyle w:val="Normal"/>
              <w:spacing w:before="200" w:after="200"/>
              <w:ind w:left="0" w:firstLine="54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3) собственникам жилых помещений, достигшим возраста семидесяти лет, проживающим в составе семьи, состоящей только из совместно проживающих неработающих граждан пенсионного возраста и (или) неработающих граждан, достигших возраста 55 лет для женщин и 60 лет для мужчин, и (или) неработающих инвалидов I и (или) II групп;</w:t>
            </w:r>
          </w:p>
          <w:p>
            <w:pPr>
              <w:pStyle w:val="Normal"/>
              <w:spacing w:before="200" w:after="200"/>
              <w:ind w:left="0" w:firstLine="54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4) собственникам жилых помещений, достигшим возраста восьмидесяти лет, проживающим в составе семьи, состоящей только из совместно проживающих неработающих граждан пенсионного возраста и (или) неработающих граждан, достигших возраста 55 лет для женщин и 60 лет для мужчин, и (или) неработающих инвалидов I и (или) II групп.</w:t>
            </w:r>
          </w:p>
          <w:p>
            <w:pPr>
              <w:pStyle w:val="Normal"/>
              <w:spacing w:before="200" w:after="200"/>
              <w:ind w:left="0" w:firstLine="54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Компенсация также предоставляется в случае временного отсутствия проживающих совместно с гражданином граждан, не достигших пенсионного возраста, и (или) не достигших возраста 55 лет для женщин и 60 лет для мужчин, и (или) не являющихся инвалидами I и (или) II групп (регистрация в установленном порядке по месту пребывания, прохождение военной службы по призыву, отбывание наказания в виде лишения свободы).</w:t>
            </w:r>
          </w:p>
          <w:p>
            <w:pPr>
              <w:pStyle w:val="Normal"/>
              <w:spacing w:before="200" w:after="200"/>
              <w:ind w:left="0" w:firstLine="54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Компенсация предоставляется в отношении одного жилого помещения в многоквартирном доме, принадлежащего гражданину на праве собственности, используемого в качестве места жительства.</w:t>
            </w:r>
          </w:p>
          <w:p>
            <w:pPr>
              <w:pStyle w:val="Normal"/>
              <w:spacing w:before="200" w:after="200"/>
              <w:ind w:left="0" w:firstLine="54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Компенсация предоставляется при соблюдении следующих условий:</w:t>
            </w:r>
          </w:p>
          <w:p>
            <w:pPr>
              <w:pStyle w:val="Normal"/>
              <w:spacing w:before="200" w:after="200"/>
              <w:ind w:left="0" w:firstLine="54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1) в отношении жилого помещения, в котором проживает гражданин, осуществляется начисление взноса на капитальный ремонт общего имущества в многоквартирном доме (далее - взнос на капитальный ремонт);</w:t>
            </w:r>
          </w:p>
          <w:p>
            <w:pPr>
              <w:pStyle w:val="Normal"/>
              <w:spacing w:before="200" w:after="200"/>
              <w:ind w:left="0" w:firstLine="54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2) жилое помещение, в отношении которого предоставляется компенсация, принадлежит гражданину на праве собственности (независимо от доли в праве собственности);</w:t>
            </w:r>
          </w:p>
          <w:p>
            <w:pPr>
              <w:pStyle w:val="Normal"/>
              <w:spacing w:before="200" w:after="200"/>
              <w:ind w:left="0" w:firstLine="54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3) у гражданина отсутствует задолженность по уплате взноса на капитальный ремонт;</w:t>
            </w:r>
          </w:p>
          <w:p>
            <w:pPr>
              <w:pStyle w:val="Normal"/>
              <w:spacing w:before="200" w:after="200"/>
              <w:ind w:left="0" w:firstLine="54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4) гражданин не является получателем компенсации расходов на уплату взноса на капитальный ремонт в составе меры социальной поддержки на оплату жилого помещения и коммунальных услуг, установленной иными нормативными правовыми актами.</w:t>
            </w:r>
          </w:p>
          <w:p>
            <w:pPr>
              <w:pStyle w:val="Normal"/>
              <w:spacing w:before="200" w:after="200"/>
              <w:ind w:left="0" w:firstLine="54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Предоставление компенсации осуществляется государственным казенным учреждением "Центр социальной поддержки Курганской области" по месту жительства гражданина на основании сведений о начисленном взносе на капитальный ремонт.</w:t>
            </w:r>
          </w:p>
          <w:p>
            <w:pPr>
              <w:pStyle w:val="Normal"/>
              <w:widowControl w:val="false"/>
              <w:spacing w:before="0" w:after="20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</w:r>
          </w:p>
        </w:tc>
      </w:tr>
      <w:tr>
        <w:trPr>
          <w:trHeight w:val="990" w:hRule="atLeast"/>
        </w:trPr>
        <w:tc>
          <w:tcPr>
            <w:tcW w:w="2353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  <w:lang w:eastAsia="ru-RU"/>
              </w:rPr>
              <w:t>Обязательные документы</w:t>
            </w:r>
          </w:p>
        </w:tc>
        <w:tc>
          <w:tcPr>
            <w:tcW w:w="12499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ConsPlusNormal"/>
              <w:widowControl w:val="false"/>
              <w:spacing w:lineRule="auto" w:line="360"/>
              <w:ind w:hanging="0"/>
              <w:jc w:val="left"/>
              <w:rPr/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  <w:t xml:space="preserve">1. </w:t>
            </w:r>
            <w:hyperlink w:anchor="P1586">
              <w:r>
                <w:rPr>
                  <w:rFonts w:cs="Arial" w:ascii="Arial" w:hAnsi="Arial"/>
                  <w:color w:val="000000"/>
                  <w:sz w:val="24"/>
                  <w:szCs w:val="24"/>
                </w:rPr>
                <w:t>заявление</w:t>
              </w:r>
            </w:hyperlink>
            <w:r>
              <w:rPr>
                <w:rFonts w:cs="Arial" w:ascii="Arial" w:hAnsi="Arial"/>
                <w:color w:val="000000"/>
                <w:sz w:val="24"/>
                <w:szCs w:val="24"/>
              </w:rPr>
              <w:t xml:space="preserve"> о н</w:t>
            </w:r>
            <w:r>
              <w:rPr>
                <w:rFonts w:cs="Arial" w:ascii="Arial" w:hAnsi="Arial"/>
                <w:sz w:val="24"/>
                <w:szCs w:val="24"/>
              </w:rPr>
              <w:t>азначении компенсации;</w:t>
            </w:r>
          </w:p>
          <w:p>
            <w:pPr>
              <w:pStyle w:val="ConsPlusNormal"/>
              <w:widowControl w:val="false"/>
              <w:spacing w:lineRule="auto" w:line="360"/>
              <w:ind w:hanging="0"/>
              <w:jc w:val="left"/>
              <w:rPr/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  <w:t xml:space="preserve">2. </w:t>
            </w:r>
            <w:hyperlink w:anchor="P1670">
              <w:r>
                <w:rPr>
                  <w:rFonts w:cs="Arial" w:ascii="Arial" w:hAnsi="Arial"/>
                  <w:color w:val="000000"/>
                  <w:sz w:val="24"/>
                  <w:szCs w:val="24"/>
                </w:rPr>
                <w:t>согласие</w:t>
              </w:r>
            </w:hyperlink>
            <w:r>
              <w:rPr>
                <w:rFonts w:cs="Arial" w:ascii="Arial" w:hAnsi="Arial"/>
                <w:color w:val="000000"/>
                <w:sz w:val="24"/>
                <w:szCs w:val="24"/>
              </w:rPr>
              <w:t xml:space="preserve"> </w:t>
            </w:r>
            <w:r>
              <w:rPr>
                <w:rFonts w:cs="Arial" w:ascii="Arial" w:hAnsi="Arial"/>
                <w:sz w:val="24"/>
                <w:szCs w:val="24"/>
              </w:rPr>
              <w:t>на обработку персональных данных заявителя;</w:t>
            </w:r>
          </w:p>
          <w:p>
            <w:pPr>
              <w:pStyle w:val="Normal"/>
              <w:widowControl w:val="false"/>
              <w:spacing w:lineRule="auto" w:line="360"/>
              <w:ind w:left="0" w:hanging="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 xml:space="preserve">3. 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д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окумент, удостоверяющий право собственности на жилое помещение, в случае если право собственности не зарегистрировано в Едином государственном реестре недвижимости;</w:t>
            </w:r>
          </w:p>
          <w:p>
            <w:pPr>
              <w:pStyle w:val="Normal"/>
              <w:widowControl w:val="false"/>
              <w:spacing w:lineRule="auto" w:line="240"/>
              <w:ind w:left="0" w:hanging="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 xml:space="preserve">4. 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с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ведения о прохождении гражданином, совместно проживающим с заявителем, военной службы по призыву;</w:t>
            </w:r>
          </w:p>
          <w:p>
            <w:pPr>
              <w:pStyle w:val="Normal"/>
              <w:widowControl w:val="false"/>
              <w:spacing w:lineRule="auto" w:line="240" w:before="200" w:after="200"/>
              <w:ind w:left="0" w:hanging="0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5. документ, удостоверяющий личность представителя заявителя, и документ, подтверждающий его полномочия действовать от имени заявителя (в случае обращения представителя заявителя с заявлением);</w:t>
            </w:r>
          </w:p>
          <w:p>
            <w:pPr>
              <w:pStyle w:val="Normal"/>
              <w:widowControl w:val="false"/>
              <w:spacing w:lineRule="auto" w:line="240" w:before="200" w:after="200"/>
              <w:ind w:left="0" w:hanging="0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cs="Arial" w:ascii="Arial" w:hAnsi="Arial"/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 xml:space="preserve">6. </w:t>
            </w:r>
            <w:r>
              <w:rPr>
                <w:rFonts w:cs="Arial" w:ascii="Arial" w:hAnsi="Arial"/>
                <w:sz w:val="24"/>
                <w:szCs w:val="24"/>
              </w:rPr>
              <w:t>согласие на обработку персональных данных каждого совместно проживающего с заявителем неработающего гражданина пенсионного возраста и (или) неработающего гражданина, достигшего возраста 55 лет для женщин и 60 лет для мужчин, и (или) неработающего инвалида I и (или) II групп для заявителей;</w:t>
            </w:r>
          </w:p>
          <w:p>
            <w:pPr>
              <w:pStyle w:val="Normal"/>
              <w:widowControl w:val="false"/>
              <w:spacing w:lineRule="auto" w:line="240" w:before="200" w:after="200"/>
              <w:ind w:left="0" w:hanging="0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7. с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ведения об отбывании гражданином, совместно проживающим с заявителем, наказания в виде лишения свободы;</w:t>
            </w:r>
          </w:p>
          <w:p>
            <w:pPr>
              <w:pStyle w:val="Normal"/>
              <w:widowControl w:val="false"/>
              <w:spacing w:lineRule="auto" w:line="240" w:before="200" w:after="200"/>
              <w:ind w:left="0" w:hanging="0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8. с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удебный акт, устанавливающий факт проживания заявителя в жилом помещении либо подтверждающий, что заявитель проживает в жилом помещении один (в соответствующих случаях)</w:t>
            </w:r>
          </w:p>
          <w:p>
            <w:pPr>
              <w:pStyle w:val="Normal"/>
              <w:widowControl w:val="false"/>
              <w:spacing w:lineRule="auto" w:line="240" w:before="200" w:after="200"/>
              <w:ind w:left="0" w:hanging="0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9. п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латежные документы (единый платежный документ) для внесения платы за содержание и ремонт жилого помещения и предоставление коммунальных услуг за месяц, подтверждающий начисление взноса на капитальный ремонт общего имущества в многоквартирном доме, предшествующий месяцу обращения заявителя за назначением компенсации</w:t>
            </w:r>
          </w:p>
          <w:p>
            <w:pPr>
              <w:pStyle w:val="Normal"/>
              <w:widowControl w:val="false"/>
              <w:spacing w:lineRule="auto" w:line="240" w:before="200" w:after="200"/>
              <w:ind w:left="0" w:hanging="0"/>
              <w:jc w:val="lef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10. д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окумент, удостоверяющий личность представителя заявителя, и документ, подтверждающий его полномочия действовать от имени заявителя (в случае обращения представителя заявителя с заявлением).</w:t>
            </w:r>
          </w:p>
          <w:p>
            <w:pPr>
              <w:pStyle w:val="ConsPlusNormal"/>
              <w:widowControl w:val="false"/>
              <w:spacing w:lineRule="auto" w:line="240" w:before="220" w:after="0"/>
              <w:ind w:firstLine="54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Копии документов предъявляются вместе с подлинниками или заверенные в установленном порядке.</w:t>
            </w:r>
          </w:p>
        </w:tc>
      </w:tr>
      <w:tr>
        <w:trPr>
          <w:trHeight w:val="627" w:hRule="atLeast"/>
        </w:trPr>
        <w:tc>
          <w:tcPr>
            <w:tcW w:w="2353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  <w:lang w:eastAsia="ru-RU"/>
              </w:rPr>
              <w:t>Необязательные документы</w:t>
            </w:r>
          </w:p>
        </w:tc>
        <w:tc>
          <w:tcPr>
            <w:tcW w:w="12499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/>
              <w:ind w:left="0" w:hanging="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cs="Arial" w:ascii="Arial" w:hAnsi="Arial"/>
                <w:b w:val="false"/>
                <w:i w:val="false"/>
                <w:strike w:val="false"/>
                <w:dstrike w:val="false"/>
                <w:color w:val="000000"/>
                <w:sz w:val="24"/>
                <w:szCs w:val="24"/>
                <w:u w:val="none"/>
              </w:rPr>
              <w:t xml:space="preserve">1. </w:t>
            </w:r>
            <w:r>
              <w:rPr>
                <w:rFonts w:cs="Arial" w:ascii="Arial" w:hAnsi="Arial"/>
                <w:b w:val="false"/>
                <w:i w:val="false"/>
                <w:strike w:val="false"/>
                <w:dstrike w:val="false"/>
                <w:color w:val="000000"/>
                <w:sz w:val="24"/>
                <w:szCs w:val="24"/>
                <w:u w:val="none"/>
              </w:rPr>
              <w:t>д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окумент (сведения) о правах отдельного лица на имевшиеся (имеющиеся) у него объекты недвижимости, содержащиеся в Едином государственном реестре недвижимости;</w:t>
            </w:r>
          </w:p>
          <w:p>
            <w:pPr>
              <w:pStyle w:val="Normal"/>
              <w:widowControl w:val="false"/>
              <w:spacing w:lineRule="auto" w:line="240" w:before="200" w:after="200"/>
              <w:ind w:left="0" w:hanging="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 xml:space="preserve">2. 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с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ведения об основных характеристиках и правах на жилое помещение, содержащиеся в Едином государственном реестре недвижимости;</w:t>
            </w:r>
          </w:p>
          <w:p>
            <w:pPr>
              <w:pStyle w:val="Normal"/>
              <w:widowControl w:val="false"/>
              <w:spacing w:lineRule="auto" w:line="240" w:before="200" w:after="200"/>
              <w:ind w:left="0" w:hanging="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 xml:space="preserve">3. 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с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ведения о регистрации по месту жительства и месту пребывания гражданина Российской Федерации в пределах Российской Федерации;</w:t>
            </w:r>
          </w:p>
          <w:p>
            <w:pPr>
              <w:pStyle w:val="Normal"/>
              <w:widowControl w:val="false"/>
              <w:spacing w:lineRule="auto" w:line="240" w:before="200" w:after="200"/>
              <w:ind w:left="0" w:hanging="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4.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д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окумент (сведения) о трудовой деятельности заявителя, а также совместно проживающих с заявителем граждан пенсионного возраста и (или) граждан, достигших возраста 55 лет для женщин и 60 лет для мужчин, и (или) инвалидов I и (или) II групп;</w:t>
            </w:r>
          </w:p>
          <w:p>
            <w:pPr>
              <w:pStyle w:val="Normal"/>
              <w:widowControl w:val="false"/>
              <w:spacing w:lineRule="auto" w:line="240" w:before="200" w:after="200"/>
              <w:ind w:left="0" w:hanging="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5. с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4"/>
                <w:szCs w:val="24"/>
                <w:u w:val="none"/>
              </w:rPr>
              <w:t>ведения о предоставлении заявителю компенсации расходов на уплату взноса на капитальный ремонт в составе меры социальной поддержки по оплате жилого помещения и коммунальных услуг, установленной иными нормативными правовыми актами.</w:t>
            </w:r>
          </w:p>
        </w:tc>
      </w:tr>
      <w:tr>
        <w:trPr>
          <w:trHeight w:val="880" w:hRule="atLeast"/>
        </w:trPr>
        <w:tc>
          <w:tcPr>
            <w:tcW w:w="2353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  <w:lang w:eastAsia="ru-RU"/>
              </w:rPr>
              <w:t>Результат</w:t>
            </w:r>
          </w:p>
        </w:tc>
        <w:tc>
          <w:tcPr>
            <w:tcW w:w="12499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ConsPlusNormal"/>
              <w:widowControl w:val="false"/>
              <w:spacing w:before="220" w:after="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Результатом предоставления государственной услуги является предоставление компенсации или отказ в предоставлении компенсации.</w:t>
            </w:r>
          </w:p>
        </w:tc>
      </w:tr>
      <w:tr>
        <w:trPr>
          <w:trHeight w:val="885" w:hRule="atLeast"/>
        </w:trPr>
        <w:tc>
          <w:tcPr>
            <w:tcW w:w="2353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  <w:lang w:eastAsia="ru-RU"/>
              </w:rPr>
              <w:t>Срок предоставления услуги</w:t>
            </w:r>
          </w:p>
        </w:tc>
        <w:tc>
          <w:tcPr>
            <w:tcW w:w="12499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ConsPlusNormal"/>
              <w:widowControl w:val="false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Решение о назначении компенсации (об отказе в назначении компенсации) принимается в течение десяти рабочих дней со дня приема (регистрации) заявления о назначении компенсации со всеми необходимыми документами</w:t>
            </w:r>
          </w:p>
        </w:tc>
      </w:tr>
      <w:tr>
        <w:trPr/>
        <w:tc>
          <w:tcPr>
            <w:tcW w:w="2353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  <w:lang w:eastAsia="ru-RU"/>
              </w:rPr>
              <w:t>Основания для отказа в приеме заявления</w:t>
            </w:r>
          </w:p>
        </w:tc>
        <w:tc>
          <w:tcPr>
            <w:tcW w:w="12499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57" w:after="0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  <w:lang w:eastAsia="ru-RU"/>
              </w:rPr>
              <w:t>нет</w:t>
            </w:r>
          </w:p>
        </w:tc>
      </w:tr>
      <w:tr>
        <w:trPr>
          <w:trHeight w:val="523" w:hRule="atLeast"/>
        </w:trPr>
        <w:tc>
          <w:tcPr>
            <w:tcW w:w="2353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  <w:lang w:eastAsia="ru-RU"/>
              </w:rPr>
              <w:t>Стоимость</w:t>
            </w:r>
          </w:p>
        </w:tc>
        <w:tc>
          <w:tcPr>
            <w:tcW w:w="12499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57" w:after="0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sz w:val="24"/>
                <w:szCs w:val="24"/>
                <w:lang w:eastAsia="ru-RU"/>
              </w:rPr>
              <w:t>бесплатно</w:t>
            </w:r>
          </w:p>
        </w:tc>
      </w:tr>
      <w:tr>
        <w:trPr>
          <w:trHeight w:val="1735" w:hRule="atLeast"/>
        </w:trPr>
        <w:tc>
          <w:tcPr>
            <w:tcW w:w="2353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  <w:lang w:eastAsia="ru-RU"/>
              </w:rPr>
              <w:t>Иные требования, учитывающие особенности предоставления государственной услуги через МФЦ</w:t>
            </w:r>
          </w:p>
        </w:tc>
        <w:tc>
          <w:tcPr>
            <w:tcW w:w="12499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sz w:val="24"/>
                <w:szCs w:val="24"/>
                <w:lang w:eastAsia="ru-RU"/>
              </w:rPr>
            </w:r>
          </w:p>
        </w:tc>
      </w:tr>
      <w:tr>
        <w:trPr>
          <w:trHeight w:val="1148" w:hRule="atLeast"/>
        </w:trPr>
        <w:tc>
          <w:tcPr>
            <w:tcW w:w="2353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  <w:lang w:eastAsia="ru-RU"/>
              </w:rPr>
              <w:t>НПА</w:t>
            </w:r>
          </w:p>
        </w:tc>
        <w:tc>
          <w:tcPr>
            <w:tcW w:w="12499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ConsPlusNormal"/>
              <w:widowControl w:val="false"/>
              <w:jc w:val="both"/>
              <w:rPr/>
            </w:pPr>
            <w:r>
              <w:rPr>
                <w:rFonts w:cs="Arial" w:ascii="Arial" w:hAnsi="Arial"/>
                <w:sz w:val="24"/>
                <w:szCs w:val="24"/>
              </w:rPr>
              <w:t xml:space="preserve">Приказ Главного Управления социальной защиты населения Курганской области № 108 от 11.03.2019 г. «Об утверждении Административного </w:t>
            </w:r>
            <w:hyperlink w:anchor="P45">
              <w:r>
                <w:rPr>
                  <w:rFonts w:cs="Arial" w:ascii="Arial" w:hAnsi="Arial"/>
                  <w:sz w:val="24"/>
                  <w:szCs w:val="24"/>
                </w:rPr>
                <w:t>регламент</w:t>
              </w:r>
            </w:hyperlink>
            <w:r>
              <w:rPr>
                <w:rFonts w:cs="Arial" w:ascii="Arial" w:hAnsi="Arial"/>
                <w:sz w:val="24"/>
                <w:szCs w:val="24"/>
              </w:rPr>
              <w:t>а предоставления государственной услуги по предоставлению компенсации расходов на уплату взноса на капитальный ремонт общего имущества в многоквартирном доме отдельным категориям граждан в Курганской области»</w:t>
            </w:r>
          </w:p>
          <w:p>
            <w:pPr>
              <w:pStyle w:val="Normal"/>
              <w:widowControl w:val="false"/>
              <w:spacing w:before="0" w:after="20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ПРАВИТЕЛЬСТВО КУРГАНСКОЙ ОБЛАСТИ ПОСТАНОВЛЕНИЕ от 20 июня 2016 г. N 184 ОБ УТВЕРЖДЕНИИ ПОРЯДКА ПРЕДОСТАВЛЕНИЯ КОМПЕНСАЦИИ РАСХОДОВ НА УПЛАТУ ВЗНОСА НА КАПИТАЛЬНЫЙ РЕМОНТ ОБЩЕГО ИМУЩЕСТВА В МНОГОКВАРТИРНОМ ДОМЕ ОТДЕЛЬНЫМ КАТЕГОРИЯМ ГРАЖДАН В КУРГАНСКОЙ ОБЛАСТИ</w:t>
            </w:r>
          </w:p>
        </w:tc>
      </w:tr>
    </w:tbl>
    <w:p>
      <w:pPr>
        <w:pStyle w:val="Normal"/>
        <w:spacing w:before="0" w:after="200"/>
        <w:jc w:val="right"/>
        <w:rPr>
          <w:rFonts w:ascii="Arial" w:hAnsi="Arial" w:cs="Arial"/>
          <w:sz w:val="21"/>
          <w:szCs w:val="21"/>
        </w:rPr>
      </w:pPr>
      <w:r>
        <w:rPr/>
      </w:r>
    </w:p>
    <w:sectPr>
      <w:type w:val="nextPage"/>
      <w:pgSz w:orient="landscape" w:w="16838" w:h="11906"/>
      <w:pgMar w:left="851" w:right="1134" w:gutter="0" w:header="0" w:top="426" w:footer="0" w:bottom="85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Courier New">
    <w:charset w:val="cc"/>
    <w:family w:val="roman"/>
    <w:pitch w:val="variable"/>
  </w:font>
  <w:font w:name="Arial">
    <w:charset w:val="cc"/>
    <w:family w:val="roman"/>
    <w:pitch w:val="variable"/>
  </w:font>
  <w:font w:name="Arial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9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Normal (Web)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link w:val="11"/>
    <w:uiPriority w:val="9"/>
    <w:qFormat/>
    <w:rsid w:val="000a15b1"/>
    <w:pPr>
      <w:spacing w:lineRule="auto" w:line="240" w:beforeAutospacing="1" w:afterAutospacing="1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 w:customStyle="1">
    <w:name w:val="Текст выноски Знак"/>
    <w:basedOn w:val="DefaultParagraphFont"/>
    <w:link w:val="BalloonText"/>
    <w:uiPriority w:val="99"/>
    <w:semiHidden/>
    <w:qFormat/>
    <w:rsid w:val="00236378"/>
    <w:rPr>
      <w:rFonts w:ascii="Tahoma" w:hAnsi="Tahoma" w:cs="Tahoma"/>
      <w:sz w:val="16"/>
      <w:szCs w:val="16"/>
    </w:rPr>
  </w:style>
  <w:style w:type="character" w:styleId="11" w:customStyle="1">
    <w:name w:val="Заголовок 1 Знак"/>
    <w:basedOn w:val="DefaultParagraphFont"/>
    <w:uiPriority w:val="9"/>
    <w:qFormat/>
    <w:rsid w:val="000a15b1"/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character" w:styleId="-">
    <w:name w:val="Hyperlink"/>
    <w:basedOn w:val="DefaultParagraphFont"/>
    <w:uiPriority w:val="99"/>
    <w:semiHidden/>
    <w:unhideWhenUsed/>
    <w:rsid w:val="00564d10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8133ce"/>
    <w:rPr>
      <w:b/>
      <w:bCs/>
    </w:rPr>
  </w:style>
  <w:style w:type="character" w:styleId="FontStyle20" w:customStyle="1">
    <w:name w:val="Font Style20"/>
    <w:basedOn w:val="DefaultParagraphFont"/>
    <w:uiPriority w:val="99"/>
    <w:qFormat/>
    <w:rsid w:val="00a2080e"/>
    <w:rPr>
      <w:rFonts w:ascii="Times New Roman" w:hAnsi="Times New Roman" w:cs="Times New Roman"/>
      <w:sz w:val="18"/>
      <w:szCs w:val="18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link w:val="Style13"/>
    <w:uiPriority w:val="99"/>
    <w:semiHidden/>
    <w:unhideWhenUsed/>
    <w:qFormat/>
    <w:rsid w:val="00236378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166e5"/>
    <w:pPr>
      <w:spacing w:before="0" w:after="200"/>
      <w:ind w:left="720" w:hanging="0"/>
      <w:contextualSpacing/>
    </w:pPr>
    <w:rPr/>
  </w:style>
  <w:style w:type="paragraph" w:styleId="ConsPlusTitle" w:customStyle="1">
    <w:name w:val="ConsPlusTitle"/>
    <w:qFormat/>
    <w:rsid w:val="001f41f3"/>
    <w:pPr>
      <w:widowControl w:val="false"/>
      <w:suppressAutoHyphens w:val="tru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b/>
      <w:color w:val="auto"/>
      <w:kern w:val="0"/>
      <w:sz w:val="22"/>
      <w:szCs w:val="20"/>
      <w:lang w:val="ru-RU" w:eastAsia="ru-RU" w:bidi="ar-SA"/>
    </w:rPr>
  </w:style>
  <w:style w:type="paragraph" w:styleId="ConsPlusNormal" w:customStyle="1">
    <w:name w:val="ConsPlusNormal"/>
    <w:qFormat/>
    <w:rsid w:val="0039620a"/>
    <w:pPr>
      <w:widowControl w:val="false"/>
      <w:suppressAutoHyphens w:val="tru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color w:val="auto"/>
      <w:kern w:val="0"/>
      <w:sz w:val="22"/>
      <w:szCs w:val="20"/>
      <w:lang w:val="ru-RU" w:eastAsia="ru-RU" w:bidi="ar-SA"/>
    </w:rPr>
  </w:style>
  <w:style w:type="paragraph" w:styleId="NormalWeb">
    <w:name w:val="Normal (Web)"/>
    <w:basedOn w:val="Normal"/>
    <w:uiPriority w:val="99"/>
    <w:unhideWhenUsed/>
    <w:qFormat/>
    <w:rsid w:val="004b3fc2"/>
    <w:pPr>
      <w:spacing w:lineRule="auto" w:line="240" w:beforeAutospacing="1" w:after="0"/>
      <w:jc w:val="both"/>
    </w:pPr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paragraph" w:styleId="Western" w:customStyle="1">
    <w:name w:val="western"/>
    <w:basedOn w:val="Normal"/>
    <w:qFormat/>
    <w:rsid w:val="006c56f7"/>
    <w:pPr>
      <w:spacing w:lineRule="auto" w:line="240" w:beforeAutospacing="1" w:after="0"/>
      <w:jc w:val="both"/>
    </w:pPr>
    <w:rPr>
      <w:rFonts w:ascii="Liberation Sans" w:hAnsi="Liberation Sans" w:eastAsia="Times New Roman" w:cs="Liberation Sans"/>
      <w:color w:val="000000"/>
      <w:sz w:val="24"/>
      <w:szCs w:val="24"/>
      <w:lang w:eastAsia="ru-RU"/>
    </w:rPr>
  </w:style>
  <w:style w:type="paragraph" w:styleId="Frgu-text-title" w:customStyle="1">
    <w:name w:val="frgu-text-title"/>
    <w:basedOn w:val="Normal"/>
    <w:qFormat/>
    <w:rsid w:val="00762a9b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Ng-binding" w:customStyle="1">
    <w:name w:val="ng-binding"/>
    <w:basedOn w:val="Normal"/>
    <w:qFormat/>
    <w:rsid w:val="00762a9b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ConsPlusCell" w:customStyle="1">
    <w:name w:val="ConsPlusCell"/>
    <w:qFormat/>
    <w:rsid w:val="003212fa"/>
    <w:pPr>
      <w:widowControl w:val="false"/>
      <w:suppressAutoHyphens w:val="true"/>
      <w:bidi w:val="0"/>
      <w:spacing w:lineRule="auto" w:line="240"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ConsPlusDocList" w:customStyle="1">
    <w:name w:val="ConsPlusDocList"/>
    <w:qFormat/>
    <w:rsid w:val="00425f17"/>
    <w:pPr>
      <w:widowControl w:val="false"/>
      <w:suppressAutoHyphens w:val="true"/>
      <w:bidi w:val="0"/>
      <w:spacing w:lineRule="auto" w:line="240"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Style21" w:customStyle="1">
    <w:name w:val="Style2"/>
    <w:basedOn w:val="Normal"/>
    <w:uiPriority w:val="99"/>
    <w:qFormat/>
    <w:rsid w:val="00a2080e"/>
    <w:pPr>
      <w:widowControl w:val="false"/>
      <w:spacing w:lineRule="exact" w:line="233" w:before="0" w:after="0"/>
      <w:jc w:val="center"/>
    </w:pPr>
    <w:rPr>
      <w:rFonts w:ascii="Times New Roman" w:hAnsi="Times New Roman" w:eastAsia="" w:cs="Times New Roman" w:eastAsiaTheme="minorEastAsia"/>
      <w:color w:val="00000A"/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login.consultant.ru/link/?req=doc&amp;base=RLAW273&amp;n=78056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Application>LibreOffice/7.5.3.2$Windows_X86_64 LibreOffice_project/9f56dff12ba03b9acd7730a5a481eea045e468f3</Application>
  <AppVersion>15.0000</AppVersion>
  <Pages>5</Pages>
  <Words>856</Words>
  <Characters>6009</Characters>
  <CharactersWithSpaces>6819</CharactersWithSpaces>
  <Paragraphs>48</Paragraphs>
  <Company>КонсультантПлюс Версия 4026.00.01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2026-04-27T15:00:00Z</dcterms:created>
  <dc:creator>Надежда Николаевна Плотникова</dc:creator>
  <dc:description/>
  <dc:language>ru-RU</dc:language>
  <cp:lastModifiedBy/>
  <cp:lastPrinted>2018-08-08T10:10:00Z</cp:lastPrinted>
  <dcterms:modified xsi:type="dcterms:W3CDTF">2026-04-27T15:07:45Z</dcterms:modified>
  <cp:revision>13</cp:revision>
  <dc:subject/>
  <dc:title>Постановление Правительства Курганской области от 20.06.2016 N 184(ред. от 08.04.2026)"Об утверждении Порядка предоставления компенсации расходов на уплату взноса на капитальный ремонт общего имущества в многоквартирном доме отдельным категориям граждан в Курганской области"(вместе с "Перечнем документов (сведений), необходимых для назначения компенсации расходов на уплату взноса на капитальный ремонт общего имущества в многоквартирном доме отдельным категориям граждан в Курганской области")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