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150" w:type="dxa"/>
        <w:jc w:val="left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45"/>
        <w:gridCol w:w="12704"/>
      </w:tblGrid>
      <w:tr>
        <w:trPr>
          <w:trHeight w:val="675" w:hRule="atLeast"/>
        </w:trPr>
        <w:tc>
          <w:tcPr>
            <w:tcW w:w="24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7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Регистрация и снятие с регистрационного учета страхователей — физических лиц, заключивших трудовой договор с работником</w:t>
            </w:r>
          </w:p>
        </w:tc>
      </w:tr>
      <w:tr>
        <w:trPr>
          <w:trHeight w:val="571" w:hRule="atLeast"/>
        </w:trPr>
        <w:tc>
          <w:tcPr>
            <w:tcW w:w="24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7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Style w:val="Style15"/>
                <w:rFonts w:eastAsia="Andale Sans UI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1"/>
                <w:szCs w:val="21"/>
                <w:lang w:val="ru-RU" w:bidi="ar-SA"/>
              </w:rPr>
              <w:t>Государственно</w:t>
            </w:r>
            <w:r>
              <w:rPr>
                <w:rStyle w:val="Style15"/>
                <w:rFonts w:eastAsia="Andale Sans UI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1"/>
                <w:szCs w:val="21"/>
                <w:lang w:val="ru-RU" w:bidi="ar-SA"/>
              </w:rPr>
              <w:t>е</w:t>
            </w:r>
            <w:r>
              <w:rPr>
                <w:rStyle w:val="Style15"/>
                <w:rFonts w:eastAsia="Andale Sans UI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1"/>
                <w:szCs w:val="21"/>
                <w:lang w:val="ru-RU" w:bidi="ar-SA"/>
              </w:rPr>
              <w:t xml:space="preserve"> учреждени</w:t>
            </w:r>
            <w:r>
              <w:rPr>
                <w:rStyle w:val="Style15"/>
                <w:rFonts w:eastAsia="Andale Sans UI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1"/>
                <w:szCs w:val="21"/>
                <w:lang w:val="ru-RU" w:bidi="ar-SA"/>
              </w:rPr>
              <w:t>е</w:t>
            </w:r>
            <w:r>
              <w:rPr>
                <w:rStyle w:val="Style15"/>
                <w:rFonts w:eastAsia="Andale Sans UI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1"/>
                <w:szCs w:val="21"/>
                <w:lang w:val="ru-RU" w:bidi="ar-SA"/>
              </w:rPr>
              <w:t xml:space="preserve"> – Курганско</w:t>
            </w:r>
            <w:r>
              <w:rPr>
                <w:rStyle w:val="Style15"/>
                <w:rFonts w:eastAsia="Andale Sans UI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1"/>
                <w:szCs w:val="21"/>
                <w:lang w:val="ru-RU" w:bidi="ar-SA"/>
              </w:rPr>
              <w:t>е</w:t>
            </w:r>
            <w:r>
              <w:rPr>
                <w:rStyle w:val="Style15"/>
                <w:rFonts w:eastAsia="Andale Sans UI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1"/>
                <w:szCs w:val="21"/>
                <w:lang w:val="ru-RU" w:bidi="ar-SA"/>
              </w:rPr>
              <w:t xml:space="preserve"> регионально</w:t>
            </w:r>
            <w:r>
              <w:rPr>
                <w:rStyle w:val="Style15"/>
                <w:rFonts w:eastAsia="Andale Sans UI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1"/>
                <w:szCs w:val="21"/>
                <w:lang w:val="ru-RU" w:bidi="ar-SA"/>
              </w:rPr>
              <w:t>е</w:t>
            </w:r>
            <w:r>
              <w:rPr>
                <w:rStyle w:val="Style15"/>
                <w:rFonts w:eastAsia="Andale Sans UI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1"/>
                <w:szCs w:val="21"/>
                <w:lang w:val="ru-RU" w:bidi="ar-SA"/>
              </w:rPr>
              <w:t xml:space="preserve"> отделени</w:t>
            </w:r>
            <w:r>
              <w:rPr>
                <w:rStyle w:val="Style15"/>
                <w:rFonts w:eastAsia="Andale Sans UI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1"/>
                <w:szCs w:val="21"/>
                <w:lang w:val="ru-RU" w:bidi="ar-SA"/>
              </w:rPr>
              <w:t>е</w:t>
            </w:r>
            <w:r>
              <w:rPr>
                <w:rStyle w:val="Style15"/>
                <w:rFonts w:eastAsia="Andale Sans UI"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1"/>
                <w:szCs w:val="21"/>
                <w:lang w:val="ru-RU" w:bidi="ar-SA"/>
              </w:rPr>
              <w:t xml:space="preserve"> Фонда социального страхования Российской Федерации</w:t>
            </w:r>
          </w:p>
        </w:tc>
      </w:tr>
      <w:tr>
        <w:trPr>
          <w:trHeight w:val="686" w:hRule="atLeast"/>
        </w:trPr>
        <w:tc>
          <w:tcPr>
            <w:tcW w:w="24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Заявители</w:t>
            </w:r>
          </w:p>
          <w:p>
            <w:pPr>
              <w:pStyle w:val="Normal"/>
              <w:spacing w:lineRule="auto" w:line="240" w:before="0" w:after="200"/>
              <w:jc w:val="right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ru-RU"/>
              </w:rPr>
            </w:r>
          </w:p>
        </w:tc>
        <w:tc>
          <w:tcPr>
            <w:tcW w:w="127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- физические лица, в том числе индивидуальные предприниматели, заключившие трудовой договор с работником;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- уполномоченные представители страхователя.</w:t>
            </w:r>
          </w:p>
        </w:tc>
      </w:tr>
      <w:tr>
        <w:trPr>
          <w:trHeight w:val="609" w:hRule="atLeast"/>
        </w:trPr>
        <w:tc>
          <w:tcPr>
            <w:tcW w:w="24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7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andard"/>
              <w:suppressAutoHyphens w:val="true"/>
              <w:spacing w:lineRule="auto" w:line="240" w:beforeAutospacing="1" w:after="0"/>
              <w:ind w:left="0" w:right="0" w:hanging="0"/>
              <w:jc w:val="both"/>
              <w:rPr/>
            </w:pPr>
            <w:r>
              <w:rPr>
                <w:rStyle w:val="Style15"/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Предоставление государственной услуги осуществляется территориальным органом</w:t>
            </w:r>
            <w:r>
              <w:rPr>
                <w:rStyle w:val="Style15"/>
                <w:rFonts w:eastAsia="Calibri" w:cs="Arial" w:ascii="Arial" w:hAnsi="Arial"/>
                <w:color w:val="000000"/>
                <w:sz w:val="21"/>
                <w:szCs w:val="21"/>
                <w:lang w:eastAsia="ru-RU"/>
              </w:rPr>
              <w:t xml:space="preserve"> Фонда</w:t>
            </w:r>
            <w:r>
              <w:rPr>
                <w:rStyle w:val="Style15"/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 xml:space="preserve"> по месту жительства заявителей, при этом заявление о предоставлении государственной услуги и документы, необходимые дл</w:t>
            </w:r>
            <w:r>
              <w:rPr>
                <w:rStyle w:val="Style15"/>
                <w:rFonts w:eastAsia="Times New Roman" w:cs="Arial" w:ascii="Arial" w:hAnsi="Arial"/>
                <w:color w:val="000000"/>
                <w:sz w:val="21"/>
                <w:szCs w:val="21"/>
                <w:highlight w:val="white"/>
                <w:lang w:eastAsia="ru-RU"/>
              </w:rPr>
              <w:t>я предоставления государственной услуги, могут быть представл</w:t>
            </w:r>
            <w:r>
              <w:rPr>
                <w:rStyle w:val="Style15"/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ены заявителем в МФЦ независимо от места жительства или места постановки на регистрационный учет заявителя.</w:t>
            </w:r>
          </w:p>
        </w:tc>
      </w:tr>
      <w:tr>
        <w:trPr>
          <w:trHeight w:val="646" w:hRule="atLeast"/>
        </w:trPr>
        <w:tc>
          <w:tcPr>
            <w:tcW w:w="24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7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Autospacing="1" w:after="0"/>
              <w:ind w:left="0" w:right="0" w:hanging="0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bookmarkStart w:id="0" w:name="P154"/>
            <w:bookmarkEnd w:id="0"/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Для получения государственной услуги заявителем представляются (направляются) следующие документы: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 xml:space="preserve">а) для регистрации в качестве страхователя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- заявление о регистрации;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- и копии трудовых книжек нанятых работников или трудовых договоров, заключенных с работниками;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б) для снятия страхователя с регистрационного учета: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- заявление о снятии с регистрационного учета;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- копии документов, подтверждающих наступление обстоятельств, являющихся основанием для снятия с регистрационного учета (прекращение действия трудового договора с последним из принятых работников).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в) в случае изменения места жительства страхователя: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- заявление о регистрации в качестве страхователя в связи с изменением места жительства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- предъявляется копия документа, удостоверяющего личность.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В случае представления документов уполномоченным представителем заявителя предъявляется документ, подтверждающий соответствующие полномочия.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 xml:space="preserve">Копии документов, представляемых в территориальный орган Фонда или МФЦ, должны быть заверены нотариально.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 xml:space="preserve">В случае предъявления заявителем подлинников документов копии документов заверяются должностными лицами территориального органа Фонда, МФЦ.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/>
                <w:color w:val="000000"/>
                <w:lang w:eastAsia="ru-RU"/>
              </w:rPr>
            </w:r>
          </w:p>
        </w:tc>
      </w:tr>
      <w:tr>
        <w:trPr>
          <w:trHeight w:val="627" w:hRule="atLeast"/>
        </w:trPr>
        <w:tc>
          <w:tcPr>
            <w:tcW w:w="24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7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Autospacing="1" w:after="0"/>
              <w:ind w:left="0" w:right="0" w:hanging="0"/>
              <w:jc w:val="both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Для предоставления государственной услуги заявителю территориальным органом Фонда в рамках межведомственного взаимодействия запрашиваются в срок не позднее одного рабочего дня, следующего за днем поступления заявления о регистрации, находящиеся в распоряжении налоговых органов сведения о постановке физического лица на учет в налоговом органе, необходимые для регистрации в качестве страхователя.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Для регистрации в качестве страхователя физического лица, являющегося индивидуальным предпринимателем, используются сведения из Единого государственного реестра индивидуальных предпринимателей, полученные от налогового органа, о постановке на учет в налоговом органе и о государственной регистрации физического лица в качестве индивидуального предпринимателя.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Заявитель может по своей инициативе представить в территориальный орган Фонда необходимые для регистрации копии свидетельства о постановке на учет в налоговом органе и свидетельства о государственной регистрации физического лица в качестве индивидуального предпринимателя (для индивидуальных предпринимателей).</w:t>
            </w:r>
          </w:p>
        </w:tc>
      </w:tr>
      <w:tr>
        <w:trPr>
          <w:trHeight w:val="1168" w:hRule="atLeast"/>
        </w:trPr>
        <w:tc>
          <w:tcPr>
            <w:tcW w:w="24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7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Autospacing="1" w:after="0"/>
              <w:ind w:left="0" w:right="0" w:hanging="0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Результатами предоставления государственной услуги являются: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1"/>
                <w:szCs w:val="21"/>
                <w:lang w:eastAsia="ru-RU"/>
              </w:rPr>
              <w:t>при регистрации в качестве страхователей</w:t>
            </w: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 xml:space="preserve"> выдача (направление) заявителю </w:t>
            </w:r>
          </w:p>
          <w:p>
            <w:pPr>
              <w:pStyle w:val="Normal"/>
              <w:suppressAutoHyphens w:val="tru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5"/>
                <w:rFonts w:cs="Arial" w:ascii="Arial" w:hAnsi="Arial"/>
                <w:sz w:val="21"/>
                <w:szCs w:val="21"/>
              </w:rPr>
              <w:t>- у</w:t>
            </w:r>
            <w:r>
              <w:rPr>
                <w:rStyle w:val="Style15"/>
                <w:rFonts w:ascii="Arial" w:hAnsi="Arial"/>
                <w:sz w:val="21"/>
                <w:szCs w:val="21"/>
              </w:rPr>
              <w:t xml:space="preserve">ведомления о регистрации в качестве страхователя физического лица, </w:t>
            </w:r>
            <w:r>
              <w:rPr>
                <w:rStyle w:val="Style15"/>
                <w:rFonts w:cs="Arial" w:ascii="Arial" w:hAnsi="Arial"/>
                <w:b w:val="false"/>
                <w:i w:val="false"/>
                <w:strike w:val="false"/>
                <w:dstrike w:val="false"/>
                <w:sz w:val="21"/>
                <w:szCs w:val="21"/>
                <w:u w:val="none"/>
              </w:rPr>
              <w:t>заключившего трудовой договор с работником;</w:t>
            </w:r>
          </w:p>
          <w:p>
            <w:pPr>
              <w:pStyle w:val="Normal"/>
              <w:suppressAutoHyphens w:val="tru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5"/>
                <w:rFonts w:eastAsia="Times New Roman" w:cs="Arial" w:ascii="Arial" w:hAnsi="Arial"/>
                <w:b w:val="false"/>
                <w:i w:val="false"/>
                <w:strike w:val="false"/>
                <w:dstrike w:val="false"/>
                <w:color w:val="000000"/>
                <w:sz w:val="21"/>
                <w:szCs w:val="21"/>
                <w:u w:val="none"/>
                <w:lang w:eastAsia="ru-RU"/>
              </w:rPr>
              <w:t>- уведомления о размере страховых взносов на обязательное социальное страхование от несчастных случаев на производстве и профессиональных заболеваний физического лица.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1"/>
                <w:szCs w:val="21"/>
                <w:lang w:eastAsia="ru-RU"/>
              </w:rPr>
              <w:t>при снятии с регистрационного учета</w:t>
            </w: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 xml:space="preserve"> страхователей выдача (направление) заявителю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- копии принятого территориальным органом Фонда решения о снятии с регистрационного учета.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1"/>
                <w:szCs w:val="21"/>
                <w:lang w:eastAsia="ru-RU"/>
              </w:rPr>
              <w:t>при регистрации (снятии с регистрационного учета) страхователей в связи с изменением места жительства</w:t>
            </w: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 xml:space="preserve"> выдача (направление) заявителю  !!!!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21"/>
                <w:szCs w:val="21"/>
                <w:lang w:eastAsia="ru-RU"/>
              </w:rPr>
              <w:t>В МФЦ по этой подуслуге РЕЗУЛЬТАТ НЕ ВЫДАЕТСЯ!!!!!!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- уведомления о регистрации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 xml:space="preserve">- копия решения о снятии с регистрационного учета по прежнему месту жительства.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(</w:t>
            </w:r>
            <w:r>
              <w:rPr>
                <w:rStyle w:val="Style15"/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территориальный орган Фонда по новому месту жительства страхователя осуществляет его регистрацию в связи с изменением места жительства, если в заявлении о регистрации указан способ получения документов о регистрации посредством выдачи на личном приеме, специалист МФЦ при приеме документов информирует заявителя о том, что такие документы будут выданы заявителю в территориальном органе Фонда по новому месту жительства страхователя, в случае если в заявлении о регистрации указан способ получения документов о регистрации почтовым отправлением, специалист МФЦ при приеме документов информирует заявителя о том, что такие документы будут направлены заявителю территориальным органом Фонда по новому месту жительства страхователя почтовым отправлением;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Style w:val="Style15"/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- должностное лицо Отделения Фонда, в котором был зарегистрирован заявитель,  в срок не позднее одного рабочего дня, следующего за днем регистрации страхователя в территориальном органе Фонда по новому месту жительства, оформляет решение о снятии заявителя с регистрационного учета и направляет копию решения о снятии с регистрационного учета почтовым отправлением по новому месту жительства заявителя.</w:t>
            </w: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)</w:t>
            </w:r>
          </w:p>
        </w:tc>
      </w:tr>
      <w:tr>
        <w:trPr/>
        <w:tc>
          <w:tcPr>
            <w:tcW w:w="24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7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/>
              <w:ind w:left="0" w:right="0" w:firstLine="709"/>
              <w:jc w:val="both"/>
              <w:rPr/>
            </w:pPr>
            <w:r>
              <w:rPr>
                <w:rStyle w:val="Style15"/>
                <w:rFonts w:ascii="Arial" w:hAnsi="Arial"/>
                <w:b/>
                <w:bCs/>
              </w:rPr>
              <w:t>При регистрации страхователей</w:t>
            </w:r>
            <w:r>
              <w:rPr>
                <w:rStyle w:val="Style15"/>
                <w:rFonts w:ascii="Arial" w:hAnsi="Arial"/>
              </w:rPr>
              <w:t xml:space="preserve"> — регистрация и выдача (направление) заявителю уведомления о регистрации осуществляется в срок, не превышающий </w:t>
            </w:r>
            <w:r>
              <w:rPr>
                <w:rStyle w:val="Style15"/>
                <w:rFonts w:ascii="Arial" w:hAnsi="Arial"/>
                <w:b/>
                <w:bCs/>
              </w:rPr>
              <w:t>трех рабочих дней</w:t>
            </w:r>
            <w:r>
              <w:rPr>
                <w:rStyle w:val="Style15"/>
                <w:rFonts w:ascii="Arial" w:hAnsi="Arial"/>
              </w:rPr>
              <w:t xml:space="preserve"> со дня получения </w:t>
            </w:r>
            <w:r>
              <w:rPr>
                <w:rStyle w:val="Style15"/>
                <w:rFonts w:cs="Arial" w:ascii="Arial" w:hAnsi="Arial"/>
                <w:color w:val="000000"/>
              </w:rPr>
              <w:t>Отделением Фонда</w:t>
            </w:r>
            <w:r>
              <w:rPr>
                <w:rStyle w:val="Style15"/>
                <w:rFonts w:ascii="Arial" w:hAnsi="Arial"/>
              </w:rPr>
              <w:t xml:space="preserve"> по месту жительства последнего документа (сведений), необходимого для регистрации в качестве страхователя.</w:t>
            </w:r>
          </w:p>
          <w:p>
            <w:pPr>
              <w:pStyle w:val="Normal"/>
              <w:suppressAutoHyphens w:val="true"/>
              <w:spacing w:lineRule="auto" w:line="240"/>
              <w:ind w:left="0" w:right="0" w:firstLine="709"/>
              <w:jc w:val="both"/>
              <w:rPr/>
            </w:pPr>
            <w:r>
              <w:rPr>
                <w:rStyle w:val="Style15"/>
                <w:rFonts w:ascii="Arial" w:hAnsi="Arial"/>
                <w:b/>
                <w:bCs/>
              </w:rPr>
              <w:t>При снятии с регистрационного учета страхователей</w:t>
            </w:r>
            <w:r>
              <w:rPr>
                <w:rStyle w:val="Style15"/>
                <w:rFonts w:ascii="Arial" w:hAnsi="Arial"/>
              </w:rPr>
              <w:t xml:space="preserve"> — снятие с регистрационного учета и выдача (направление) заявителю копии решения о снятии с регистрационного учета осуществляется в срок, не превышающий </w:t>
            </w:r>
            <w:r>
              <w:rPr>
                <w:rStyle w:val="Style15"/>
                <w:rFonts w:ascii="Arial" w:hAnsi="Arial"/>
                <w:b/>
                <w:bCs/>
              </w:rPr>
              <w:t>четырнадцати рабочих дней</w:t>
            </w:r>
            <w:r>
              <w:rPr>
                <w:rStyle w:val="Style15"/>
                <w:rFonts w:ascii="Arial" w:hAnsi="Arial"/>
              </w:rPr>
              <w:t xml:space="preserve"> со дня получения </w:t>
            </w:r>
            <w:r>
              <w:rPr>
                <w:rStyle w:val="Style15"/>
                <w:rFonts w:cs="Arial" w:ascii="Arial" w:hAnsi="Arial"/>
                <w:color w:val="000000"/>
              </w:rPr>
              <w:t>Отделением Фонда</w:t>
            </w:r>
            <w:r>
              <w:rPr>
                <w:rStyle w:val="Style15"/>
                <w:rFonts w:ascii="Arial" w:hAnsi="Arial"/>
              </w:rPr>
              <w:t xml:space="preserve"> последнего документа, необходимого для снятия с регистрационного учета страхователя.</w:t>
            </w:r>
          </w:p>
          <w:p>
            <w:pPr>
              <w:pStyle w:val="Normal"/>
              <w:suppressAutoHyphens w:val="true"/>
              <w:spacing w:lineRule="auto" w:line="240" w:beforeAutospacing="1" w:after="0"/>
              <w:ind w:left="0" w:right="0" w:firstLine="709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Style w:val="Style15"/>
                <w:rFonts w:eastAsia="Times New Roman" w:cs="Arial" w:ascii="Arial" w:hAnsi="Arial"/>
                <w:b/>
                <w:bCs/>
                <w:color w:val="000000"/>
                <w:sz w:val="21"/>
                <w:szCs w:val="21"/>
                <w:lang w:eastAsia="ru-RU"/>
              </w:rPr>
              <w:t>При регистрации (снятии с регистрационного учета) страхователей в связи с изменением места жительства</w:t>
            </w:r>
            <w:r>
              <w:rPr>
                <w:rStyle w:val="Style15"/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 xml:space="preserve"> учетное дело страхователя передается Отделением Фонда, в котором был зарегистрирован страхователь, в территориальный орган Фонда по новому месту жительства страхователя в срок не позднее </w:t>
            </w:r>
            <w:r>
              <w:rPr>
                <w:rStyle w:val="Style15"/>
                <w:rFonts w:eastAsia="Times New Roman" w:cs="Arial" w:ascii="Arial" w:hAnsi="Arial"/>
                <w:b/>
                <w:bCs/>
                <w:color w:val="000000"/>
                <w:sz w:val="21"/>
                <w:szCs w:val="21"/>
                <w:lang w:eastAsia="ru-RU"/>
              </w:rPr>
              <w:t>пяти рабочих дней</w:t>
            </w:r>
            <w:r>
              <w:rPr>
                <w:rStyle w:val="Style15"/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 xml:space="preserve"> со дня получения от заявителя документов, необходимых для регистрации страхователя по новому месту жительства. Территориальный орган Фонда по новому месту жительства страхователя в срок, не превышающий </w:t>
            </w:r>
            <w:r>
              <w:rPr>
                <w:rStyle w:val="Style15"/>
                <w:rFonts w:eastAsia="Times New Roman" w:cs="Arial" w:ascii="Arial" w:hAnsi="Arial"/>
                <w:b/>
                <w:bCs/>
                <w:color w:val="000000"/>
                <w:sz w:val="21"/>
                <w:szCs w:val="21"/>
                <w:lang w:eastAsia="ru-RU"/>
              </w:rPr>
              <w:t>трех рабочих дней</w:t>
            </w:r>
            <w:r>
              <w:rPr>
                <w:rStyle w:val="Style15"/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 xml:space="preserve"> со дня получения от Отделения Фонда, в котором страхователь был зарегистрирован, документов, необходимых для регистрации страхователя по новому месту жительства, осуществляет его регистрацию в связи с изменением места жительства и выдает (направляет) заявителю уведомление о регистрации. (Территориальный орган Фонда по старому месту жительства )</w:t>
            </w:r>
          </w:p>
        </w:tc>
      </w:tr>
      <w:tr>
        <w:trPr/>
        <w:tc>
          <w:tcPr>
            <w:tcW w:w="24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Основания для отказа в приеме документов</w:t>
            </w:r>
          </w:p>
        </w:tc>
        <w:tc>
          <w:tcPr>
            <w:tcW w:w="127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5"/>
                <w:rFonts w:eastAsia="Arial;sans-serif" w:cs="Arial" w:ascii="Arial" w:hAnsi="Arial"/>
                <w:sz w:val="21"/>
                <w:szCs w:val="21"/>
                <w:highlight w:val="white"/>
              </w:rPr>
              <w:t>а) поступление документов от лица, не относящегося к кругу заявителей;</w:t>
            </w:r>
          </w:p>
          <w:p>
            <w:pPr>
              <w:pStyle w:val="Normal"/>
              <w:suppressAutoHyphens w:val="tru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5"/>
                <w:rFonts w:eastAsia="Arial;sans-serif" w:cs="Arial" w:ascii="Arial" w:hAnsi="Arial"/>
                <w:sz w:val="21"/>
                <w:szCs w:val="21"/>
                <w:lang w:eastAsia="ru-RU"/>
              </w:rPr>
              <w:t>б) поступление неполного комплекта документов, необходимых для предоставления государственной услуги, а также наличие ошибок (нечитаемого текста, незаполненных полей) в заявлении о предоставлении государственной услуги.</w:t>
            </w:r>
          </w:p>
        </w:tc>
      </w:tr>
      <w:tr>
        <w:trPr>
          <w:trHeight w:val="523" w:hRule="atLeast"/>
        </w:trPr>
        <w:tc>
          <w:tcPr>
            <w:tcW w:w="24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7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cs="Arial" w:ascii="Arial" w:hAnsi="Arial"/>
                <w:sz w:val="21"/>
                <w:szCs w:val="21"/>
              </w:rPr>
              <w:t>Предоставление государственной услуги осуществляется бесплатно</w:t>
            </w:r>
          </w:p>
        </w:tc>
      </w:tr>
      <w:tr>
        <w:trPr>
          <w:trHeight w:val="1038" w:hRule="atLeast"/>
        </w:trPr>
        <w:tc>
          <w:tcPr>
            <w:tcW w:w="24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Нормативные документы</w:t>
            </w:r>
          </w:p>
        </w:tc>
        <w:tc>
          <w:tcPr>
            <w:tcW w:w="12704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1"/>
                <w:u w:val="none"/>
              </w:rPr>
              <w:t xml:space="preserve">Приказ Фонда социального страхования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 xml:space="preserve">Российской Федерации от 22 апреля 2019 г. № 215 об утверждении </w:t>
            </w:r>
            <w:r>
              <w:rPr>
                <w:rFonts w:ascii="Arial" w:hAnsi="Arial"/>
                <w:sz w:val="21"/>
                <w:szCs w:val="21"/>
              </w:rPr>
              <w:t>Административного регламента Фонда социального страхования Российской Федерации по предоставлению государственной услуги по регистрации и снятию с регистрационного учета страхователей - физических лиц, заключивших трудовой договор с работником.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eastAsia="Arial" w:cs="Arial"/>
                <w:lang w:val="ru-RU"/>
              </w:rPr>
            </w:pPr>
            <w:r>
              <w:rPr>
                <w:rFonts w:eastAsia="Arial" w:cs="Arial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/>
              </w:rPr>
            </w:pPr>
            <w:bookmarkStart w:id="1" w:name="__DdeLink__4944_1873535182"/>
            <w:r>
              <w:rPr>
                <w:rStyle w:val="FontStyle20"/>
                <w:rFonts w:eastAsia="Arial" w:cs="Arial" w:ascii="Arial" w:hAnsi="Arial"/>
                <w:b w:val="false"/>
                <w:bCs/>
                <w:i w:val="false"/>
                <w:iCs w:val="false"/>
                <w:strike w:val="false"/>
                <w:dstrike w:val="false"/>
                <w:color w:val="000000"/>
                <w:kern w:val="2"/>
                <w:sz w:val="21"/>
                <w:szCs w:val="21"/>
                <w:highlight w:val="white"/>
                <w:u w:val="none"/>
                <w:lang w:val="ru-RU" w:eastAsia="ru-RU" w:bidi="ar-SA"/>
              </w:rPr>
              <w:t>Совместный Приказ Государственного бюджетного учреждения Курганской области «Многофункциональный центр по предоставл</w:t>
            </w:r>
            <w:r>
              <w:rPr>
                <w:rStyle w:val="FontStyle20"/>
                <w:rFonts w:eastAsia="Arial" w:cs="Arial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color w:val="000000"/>
                <w:kern w:val="2"/>
                <w:sz w:val="21"/>
                <w:szCs w:val="21"/>
                <w:highlight w:val="white"/>
                <w:u w:val="none"/>
                <w:lang w:val="ru-RU" w:eastAsia="ru-RU" w:bidi="ar-SA"/>
              </w:rPr>
              <w:t xml:space="preserve">ению государственных и муниципальных услуг» и </w:t>
            </w:r>
            <w:r>
              <w:rPr>
                <w:rStyle w:val="Style15"/>
                <w:rFonts w:eastAsia="Andale Sans UI" w:cs="Arial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color w:val="000000"/>
                <w:kern w:val="2"/>
                <w:sz w:val="21"/>
                <w:szCs w:val="21"/>
                <w:highlight w:val="white"/>
                <w:u w:val="none"/>
                <w:lang w:val="ru-RU" w:eastAsia="ru-RU" w:bidi="ar-SA"/>
              </w:rPr>
              <w:t xml:space="preserve">Государственного учреждения – Курганского регионального отделения Фонда социального страхования Российской Федерации </w:t>
            </w:r>
            <w:r>
              <w:rPr>
                <w:rStyle w:val="2"/>
                <w:rFonts w:eastAsia="Arial" w:cs="Arial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color w:val="000000"/>
                <w:kern w:val="2"/>
                <w:sz w:val="21"/>
                <w:szCs w:val="21"/>
                <w:highlight w:val="white"/>
                <w:u w:val="none"/>
                <w:lang w:val="ru-RU" w:eastAsia="ru-RU" w:bidi="ar-SA"/>
              </w:rPr>
              <w:t>от 24.03.2020 г. № 48/399 «</w:t>
            </w:r>
            <w:r>
              <w:rPr>
                <w:rStyle w:val="Style15"/>
                <w:rFonts w:eastAsia="Andale Sans UI" w:cs="Arial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color w:val="000000"/>
                <w:kern w:val="2"/>
                <w:sz w:val="21"/>
                <w:szCs w:val="21"/>
                <w:highlight w:val="white"/>
                <w:u w:val="none"/>
                <w:lang w:val="ru-RU" w:eastAsia="ru-RU" w:bidi="ar-SA"/>
              </w:rPr>
              <w:t xml:space="preserve">Об утверждении Порядка </w:t>
            </w:r>
            <w:r>
              <w:rPr>
                <w:rStyle w:val="Style15"/>
                <w:rFonts w:eastAsia="Arial" w:cs="Arial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color w:val="000000"/>
                <w:kern w:val="2"/>
                <w:sz w:val="21"/>
                <w:szCs w:val="21"/>
                <w:highlight w:val="white"/>
                <w:u w:val="none"/>
                <w:lang w:val="ru-RU" w:eastAsia="ru-RU" w:bidi="ar-SA"/>
              </w:rPr>
              <w:t xml:space="preserve">взаимодействия Государственного бюджетного учреждения Курганской области «Многофункциональный центр по предоставлению государственных и муниципальных услуг» и </w:t>
            </w:r>
            <w:r>
              <w:rPr>
                <w:rStyle w:val="Style15"/>
                <w:rFonts w:eastAsia="Andale Sans UI" w:cs="Arial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color w:val="000000"/>
                <w:kern w:val="2"/>
                <w:sz w:val="21"/>
                <w:szCs w:val="21"/>
                <w:highlight w:val="white"/>
                <w:u w:val="none"/>
                <w:lang w:val="ru-RU" w:eastAsia="ru-RU" w:bidi="ar-SA"/>
              </w:rPr>
              <w:t>Государственного учреждения – Курганского регионального отделения Фонда социального страхования Российской Федерации</w:t>
            </w:r>
            <w:r>
              <w:rPr>
                <w:rStyle w:val="Style15"/>
                <w:rFonts w:eastAsia="Arial" w:cs="Arial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color w:val="000000"/>
                <w:kern w:val="2"/>
                <w:sz w:val="21"/>
                <w:szCs w:val="21"/>
                <w:highlight w:val="white"/>
                <w:u w:val="none"/>
                <w:lang w:val="ru-RU" w:eastAsia="ru-RU" w:bidi="ar-SA"/>
              </w:rPr>
              <w:t xml:space="preserve"> при предоставлении </w:t>
            </w:r>
            <w:r>
              <w:rPr>
                <w:rStyle w:val="2"/>
                <w:rFonts w:eastAsia="Arial" w:cs="Arial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color w:val="000000"/>
                <w:kern w:val="2"/>
                <w:sz w:val="21"/>
                <w:szCs w:val="21"/>
                <w:highlight w:val="white"/>
                <w:u w:val="none"/>
                <w:lang w:val="ru-RU" w:eastAsia="ru-RU" w:bidi="ar-SA"/>
              </w:rPr>
              <w:t xml:space="preserve">государственной услуги по регистрации и снятию с регистрационного учета страхователей — физических лиц, заключивших трудовой договор с работником» </w:t>
            </w:r>
            <w:bookmarkEnd w:id="1"/>
          </w:p>
        </w:tc>
      </w:tr>
    </w:tbl>
    <w:p>
      <w:pPr>
        <w:pStyle w:val="Normal"/>
        <w:spacing w:before="0" w:after="200"/>
        <w:jc w:val="right"/>
        <w:rPr/>
      </w:pPr>
      <w:r>
        <w:rPr/>
      </w:r>
    </w:p>
    <w:sectPr>
      <w:type w:val="nextPage"/>
      <w:pgSz w:orient="landscape" w:w="16838" w:h="11906"/>
      <w:pgMar w:left="567" w:right="1134" w:header="0" w:top="567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0a15b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0a15b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>
    <w:name w:val="Интернет-ссылка"/>
    <w:basedOn w:val="DefaultParagraphFont"/>
    <w:uiPriority w:val="99"/>
    <w:semiHidden/>
    <w:unhideWhenUsed/>
    <w:rsid w:val="00564d1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133ce"/>
    <w:rPr>
      <w:b/>
      <w:bCs/>
    </w:rPr>
  </w:style>
  <w:style w:type="character" w:styleId="Ngscope" w:customStyle="1">
    <w:name w:val="ng-scope"/>
    <w:basedOn w:val="DefaultParagraphFont"/>
    <w:qFormat/>
    <w:rsid w:val="00ba0f04"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sz w:val="20"/>
    </w:rPr>
  </w:style>
  <w:style w:type="character" w:styleId="ListLabel20">
    <w:name w:val="ListLabel 20"/>
    <w:qFormat/>
    <w:rPr>
      <w:sz w:val="20"/>
    </w:rPr>
  </w:style>
  <w:style w:type="character" w:styleId="ListLabel21">
    <w:name w:val="ListLabel 21"/>
    <w:qFormat/>
    <w:rPr>
      <w:sz w:val="20"/>
    </w:rPr>
  </w:style>
  <w:style w:type="character" w:styleId="ListLabel22">
    <w:name w:val="ListLabel 22"/>
    <w:qFormat/>
    <w:rPr>
      <w:sz w:val="20"/>
    </w:rPr>
  </w:style>
  <w:style w:type="character" w:styleId="ListLabel23">
    <w:name w:val="ListLabel 23"/>
    <w:qFormat/>
    <w:rPr>
      <w:sz w:val="20"/>
    </w:rPr>
  </w:style>
  <w:style w:type="character" w:styleId="ListLabel24">
    <w:name w:val="ListLabel 24"/>
    <w:qFormat/>
    <w:rPr>
      <w:sz w:val="20"/>
    </w:rPr>
  </w:style>
  <w:style w:type="character" w:styleId="ListLabel25">
    <w:name w:val="ListLabel 25"/>
    <w:qFormat/>
    <w:rPr>
      <w:sz w:val="20"/>
    </w:rPr>
  </w:style>
  <w:style w:type="character" w:styleId="ListLabel26">
    <w:name w:val="ListLabel 26"/>
    <w:qFormat/>
    <w:rPr>
      <w:sz w:val="20"/>
    </w:rPr>
  </w:style>
  <w:style w:type="character" w:styleId="ListLabel27">
    <w:name w:val="ListLabel 27"/>
    <w:qFormat/>
    <w:rPr>
      <w:sz w:val="20"/>
    </w:rPr>
  </w:style>
  <w:style w:type="character" w:styleId="ListLabel28">
    <w:name w:val="ListLabel 28"/>
    <w:qFormat/>
    <w:rPr>
      <w:sz w:val="20"/>
    </w:rPr>
  </w:style>
  <w:style w:type="character" w:styleId="ListLabel29">
    <w:name w:val="ListLabel 29"/>
    <w:qFormat/>
    <w:rPr>
      <w:sz w:val="20"/>
    </w:rPr>
  </w:style>
  <w:style w:type="character" w:styleId="ListLabel30">
    <w:name w:val="ListLabel 30"/>
    <w:qFormat/>
    <w:rPr>
      <w:sz w:val="20"/>
    </w:rPr>
  </w:style>
  <w:style w:type="character" w:styleId="ListLabel31">
    <w:name w:val="ListLabel 31"/>
    <w:qFormat/>
    <w:rPr>
      <w:sz w:val="20"/>
    </w:rPr>
  </w:style>
  <w:style w:type="character" w:styleId="ListLabel32">
    <w:name w:val="ListLabel 32"/>
    <w:qFormat/>
    <w:rPr>
      <w:sz w:val="20"/>
    </w:rPr>
  </w:style>
  <w:style w:type="character" w:styleId="ListLabel33">
    <w:name w:val="ListLabel 33"/>
    <w:qFormat/>
    <w:rPr>
      <w:sz w:val="20"/>
    </w:rPr>
  </w:style>
  <w:style w:type="character" w:styleId="ListLabel34">
    <w:name w:val="ListLabel 34"/>
    <w:qFormat/>
    <w:rPr>
      <w:sz w:val="20"/>
    </w:rPr>
  </w:style>
  <w:style w:type="character" w:styleId="ListLabel35">
    <w:name w:val="ListLabel 35"/>
    <w:qFormat/>
    <w:rPr>
      <w:sz w:val="20"/>
    </w:rPr>
  </w:style>
  <w:style w:type="character" w:styleId="ListLabel36">
    <w:name w:val="ListLabel 36"/>
    <w:qFormat/>
    <w:rPr>
      <w:sz w:val="20"/>
    </w:rPr>
  </w:style>
  <w:style w:type="character" w:styleId="ListLabel37">
    <w:name w:val="ListLabel 37"/>
    <w:qFormat/>
    <w:rPr>
      <w:sz w:val="20"/>
    </w:rPr>
  </w:style>
  <w:style w:type="character" w:styleId="ListLabel38">
    <w:name w:val="ListLabel 38"/>
    <w:qFormat/>
    <w:rPr>
      <w:sz w:val="20"/>
    </w:rPr>
  </w:style>
  <w:style w:type="character" w:styleId="ListLabel39">
    <w:name w:val="ListLabel 39"/>
    <w:qFormat/>
    <w:rPr>
      <w:sz w:val="20"/>
    </w:rPr>
  </w:style>
  <w:style w:type="character" w:styleId="ListLabel40">
    <w:name w:val="ListLabel 40"/>
    <w:qFormat/>
    <w:rPr>
      <w:sz w:val="20"/>
    </w:rPr>
  </w:style>
  <w:style w:type="character" w:styleId="ListLabel41">
    <w:name w:val="ListLabel 41"/>
    <w:qFormat/>
    <w:rPr>
      <w:sz w:val="20"/>
    </w:rPr>
  </w:style>
  <w:style w:type="character" w:styleId="ListLabel42">
    <w:name w:val="ListLabel 42"/>
    <w:qFormat/>
    <w:rPr>
      <w:sz w:val="20"/>
    </w:rPr>
  </w:style>
  <w:style w:type="character" w:styleId="ListLabel43">
    <w:name w:val="ListLabel 43"/>
    <w:qFormat/>
    <w:rPr>
      <w:sz w:val="20"/>
    </w:rPr>
  </w:style>
  <w:style w:type="character" w:styleId="ListLabel44">
    <w:name w:val="ListLabel 44"/>
    <w:qFormat/>
    <w:rPr>
      <w:sz w:val="20"/>
    </w:rPr>
  </w:style>
  <w:style w:type="character" w:styleId="ListLabel45">
    <w:name w:val="ListLabel 45"/>
    <w:qFormat/>
    <w:rPr>
      <w:sz w:val="20"/>
    </w:rPr>
  </w:style>
  <w:style w:type="character" w:styleId="Style15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FontStyle20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9620a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4b3fc2"/>
    <w:pPr>
      <w:spacing w:lineRule="auto" w:line="240" w:beforeAutospacing="1" w:after="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6c56f7"/>
    <w:pPr>
      <w:spacing w:lineRule="auto" w:line="240" w:beforeAutospacing="1" w:after="0"/>
      <w:jc w:val="both"/>
    </w:pPr>
    <w:rPr>
      <w:rFonts w:ascii="Liberation Sans" w:hAnsi="Liberation Sans" w:eastAsia="Times New Roman" w:cs="Liberation Sans"/>
      <w:color w:val="000000"/>
      <w:sz w:val="24"/>
      <w:szCs w:val="24"/>
      <w:lang w:eastAsia="ru-RU"/>
    </w:rPr>
  </w:style>
  <w:style w:type="paragraph" w:styleId="Frgutexttitle" w:customStyle="1">
    <w:name w:val="frgu-text-title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gbinding" w:customStyle="1">
    <w:name w:val="ng-binding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Cell" w:customStyle="1">
    <w:name w:val="ConsPlusCell"/>
    <w:qFormat/>
    <w:rsid w:val="003212fa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Arial Unicode MS" w:cs="Tahoma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LibreOffice/6.2.2.2$Windows_X86_64 LibreOffice_project/2b840030fec2aae0fd2658d8d4f9548af4e3518d</Application>
  <Pages>3</Pages>
  <Words>975</Words>
  <Characters>7256</Characters>
  <CharactersWithSpaces>8195</CharactersWithSpaces>
  <Paragraphs>51</Paragraphs>
  <Company>КонсультантПлюс Версия 4019.00.23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2020-08-26T13:32:00Z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2020-08-27T10:49:07Z</dcterms:modified>
  <cp:revision>12</cp:revision>
  <dc:subject/>
  <dc:title>Приказ ФСС РФ от 22.04.2019 N 215"Об утверждении Административного регламента Фонда социального страхования Российской Федерации по предоставлению государственной услуги по регистрации и снятию с регистрационного учета страхователей - физических лиц, заключивших трудовой договор с работником"(Зарегистрировано в Минюсте России 26.08.2019 N 55735)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4019.00.23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