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50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5"/>
        <w:gridCol w:w="12704"/>
      </w:tblGrid>
      <w:tr>
        <w:trPr>
          <w:trHeight w:val="675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0"/>
                <w:szCs w:val="21"/>
                <w:u w:val="none"/>
                <w:lang w:eastAsia="ru-RU"/>
              </w:rPr>
              <w:t>Государственная услуга по приему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</w:tr>
      <w:tr>
        <w:trPr>
          <w:trHeight w:val="571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Государственное учреждение – Курганское региональное отделение Фонда социального страхования Российской Федерации</w:t>
            </w:r>
          </w:p>
        </w:tc>
      </w:tr>
      <w:tr>
        <w:trPr>
          <w:trHeight w:val="68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0"/>
                <w:szCs w:val="21"/>
                <w:u w:val="none"/>
              </w:rPr>
              <w:t>1) организации - юридические лица$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2) индивидуальные предприниматели, в том числе главы крестьянских (фермерских) хозяйств;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3) физические лица, не признаваемые индивидуальными предпринимателями.</w:t>
            </w:r>
          </w:p>
        </w:tc>
      </w:tr>
      <w:tr>
        <w:trPr>
          <w:trHeight w:val="609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Предоставление государственной услуги осуществляется территориальными органами Фонда вне зависимости от места регистрации заявителя в качестве страхователя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, при этом заявление о предоставлении государственной услуги и документы, необходимые дл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highlight w:val="white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ены заявителем в МФЦ независимо от места  </w:t>
            </w: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регистрации заявителя в качестве страхователя.</w:t>
            </w:r>
          </w:p>
        </w:tc>
      </w:tr>
      <w:tr>
        <w:trPr>
          <w:trHeight w:val="64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bookmarkStart w:id="0" w:name="P154"/>
            <w:bookmarkEnd w:id="0"/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Для получения государственной услуги заявителем представляются (направляются) следующие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 xml:space="preserve">1) </w:t>
            </w:r>
            <w:hyperlink r:id="rId2">
              <w:r>
                <w:rPr>
                  <w:rFonts w:eastAsia="Times New Roman" w:cs="Arial"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szCs w:val="21"/>
                  <w:u w:val="none"/>
                  <w:lang w:eastAsia="ru-RU"/>
                </w:rPr>
                <w:t>заявление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1"/>
                <w:u w:val="none"/>
              </w:rPr>
              <w:t xml:space="preserve"> о предоставлении государственной услуги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2) документы, подтверждающие (поясняющие) правомерность и полноту начисления и своевременность уплаты (перечисления) страховых взносов.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hyperlink r:id="rId3">
              <w:r>
                <w:rPr>
                  <w:rFonts w:eastAsia="Times New Roman" w:cs="Arial" w:ascii="Arial" w:hAnsi="Arial"/>
                  <w:color w:val="000000"/>
                  <w:sz w:val="21"/>
                  <w:szCs w:val="21"/>
                  <w:lang w:eastAsia="ru-RU"/>
                </w:rPr>
                <w:t>В случае представления документов уполномоченным представителем заявителя предъявляется документ, подтверждающий соответствующие полномочия.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hyperlink r:id="rId4">
              <w:r>
                <w:rPr>
                  <w:rFonts w:eastAsia="Times New Roman" w:cs="Arial" w:ascii="Arial" w:hAnsi="Arial"/>
                  <w:color w:val="000000"/>
                  <w:sz w:val="21"/>
                  <w:szCs w:val="21"/>
                  <w:lang w:eastAsia="ru-RU"/>
                </w:rPr>
                <w:t>Копии документов, представляемых в территориальный орган Фонда или МФЦ, должны быть заверены нотариально.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hyperlink r:id="rId5">
              <w:r>
                <w:rPr>
                  <w:rFonts w:eastAsia="Times New Roman" w:cs="Arial" w:ascii="Arial" w:hAnsi="Arial"/>
                  <w:color w:val="000000"/>
                  <w:sz w:val="21"/>
                  <w:szCs w:val="21"/>
                  <w:lang w:eastAsia="ru-RU"/>
                </w:rPr>
                <w:t>В случае предъявления заявителем подлинников документов копии документов заверяются должностными лицами территориального органа Фонда, МФЦ.</w:t>
              </w:r>
            </w:hyperlink>
          </w:p>
        </w:tc>
      </w:tr>
      <w:tr>
        <w:trPr>
          <w:trHeight w:val="627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116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Результатами предоставления государственной услуги являются: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информирование заявителя о предоставлении государственной услуги по приему документов;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- отказ в приеме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Style w:val="Style15"/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Один рабочий день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0" w:right="0" w:firstLine="709"/>
              <w:jc w:val="both"/>
              <w:rPr>
                <w:rStyle w:val="Style15"/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sz w:val="21"/>
                <w:szCs w:val="21"/>
                <w:highlight w:val="white"/>
              </w:rPr>
              <w:t>Поступление документов от лица, не относящегося к кругу заявителей;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Style w:val="Style15"/>
                <w:rFonts w:ascii="Arial" w:hAnsi="Arial" w:eastAsia="Arial;sans-serif" w:cs="Arial"/>
                <w:sz w:val="20"/>
                <w:szCs w:val="21"/>
                <w:lang w:eastAsia="ru-RU"/>
              </w:rPr>
            </w:pPr>
            <w:r>
              <w:rPr>
                <w:rFonts w:eastAsia="Arial;sans-serif" w:cs="Arial" w:ascii="Arial" w:hAnsi="Arial"/>
                <w:sz w:val="20"/>
                <w:szCs w:val="21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Предоставление государственной услуги осуществляется бесплатно</w:t>
            </w:r>
          </w:p>
        </w:tc>
      </w:tr>
      <w:tr>
        <w:trPr>
          <w:trHeight w:val="103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Приказ Фонда социального страхования РФ от 22.05.2019 N 265 "Об утверждении Административного регламента Фонда социального страхования Российской Федерации по предоставлению государственной услуги по приему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взносов" (вместе с "Административным регламентом предоставления Фондом социального страхования Российской Федерации государственной услуги по приему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взносов")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7F311D0980F3182A49D47C7DE982CBF618645F23641A1E2151D64FA13D88CE9A5A390E4017D6500A3BDF42F1390BB1928F6609AD9DC2B4138P3E" TargetMode="External"/><Relationship Id="rId3" Type="http://schemas.openxmlformats.org/officeDocument/2006/relationships/hyperlink" Target="consultantplus://offline/ref=1C3D33F40A704EB4C9ECCB7A31639DFA6AA8AFCFADE64A90E4B61C662355E5ED9B353CBF480506CDEFF40479F5BC2261248CCFB167232C99zBR7E" TargetMode="External"/><Relationship Id="rId4" Type="http://schemas.openxmlformats.org/officeDocument/2006/relationships/hyperlink" Target="consultantplus://offline/ref=1C3D33F40A704EB4C9ECCB7A31639DFA6AA8AFCFADE64A90E4B61C662355E5ED9B353CBF480506CDEFF40479F5BC2261248CCFB167232C99zBR7E" TargetMode="External"/><Relationship Id="rId5" Type="http://schemas.openxmlformats.org/officeDocument/2006/relationships/hyperlink" Target="consultantplus://offline/ref=1C3D33F40A704EB4C9ECCB7A31639DFA6AA8AFCFADE64A90E4B61C662355E5ED9B353CBF480506CDEFF40479F5BC2261248CCFB167232C99zBR7E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LibreOffice/7.0.0.3$Windows_X86_64 LibreOffice_project/8061b3e9204bef6b321a21033174034a5e2ea88e</Application>
  <Pages>2</Pages>
  <Words>314</Words>
  <Characters>2626</Characters>
  <CharactersWithSpaces>2912</CharactersWithSpaces>
  <Paragraphs>30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2020-12-22T08:21:53Z</dcterms:modified>
  <cp:revision>14</cp:revision>
  <dc:subject/>
  <dc:title>Приказ ФСС РФ от 22.05.2019 N 265"Об утверждении Административного регламента Фонда социального страхования Российской Федерации по предоставлению государственной услуги по приему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взносов"(вместе с "Административным регламентом предоставления Фондом социального страхования Российской Федерации государственной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