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Заключение договоров купли-продажи лесных насаждений для собственных нужд граждан</w:t>
            </w:r>
          </w:p>
        </w:tc>
      </w:tr>
      <w:tr>
        <w:trPr>
          <w:trHeight w:val="48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Департамент гражданской защиты, охраны окружающей среды и природных ресурсов Курганской области</w:t>
            </w:r>
          </w:p>
        </w:tc>
      </w:tr>
      <w:tr>
        <w:trPr>
          <w:trHeight w:val="6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Граждане, проживающие на территории Курганской области.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Заключение договоров купли-продажи лесных насаждений для собственных нужд граждан </w:t>
            </w:r>
            <w:r>
              <w:rPr>
                <w:rFonts w:ascii="Arial" w:hAnsi="Arial" w:cstheme="minorBidi"/>
                <w:b w:val="false"/>
                <w:bCs w:val="false"/>
                <w:color w:val="000000"/>
                <w:sz w:val="22"/>
                <w:szCs w:val="22"/>
                <w:shd w:fill="FFDBB6" w:val="clear"/>
              </w:rPr>
              <w:t>в целях строительства индивидуальных жилых домов и надворных построек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осуществляется в порядке очередности: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bookmarkStart w:id="0" w:name="P34"/>
            <w:bookmarkEnd w:id="0"/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1) в первую очередь: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- с гражданами, утратившими в результате чрезвычайной ситуации, в том числе пожара, единственное жилое помещение, принадлежавшее им на праве собственности;</w:t>
            </w:r>
          </w:p>
          <w:p>
            <w:pPr>
              <w:pStyle w:val="Normal"/>
              <w:rPr/>
            </w:pPr>
            <w:bookmarkStart w:id="1" w:name="P36"/>
            <w:bookmarkEnd w:id="1"/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- с гражданами, проходящими (проходившими) военную службу в Вооруженных Силах Российской Федерации, гражданами, находящимися (находившимися)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2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пункте 6 статьи 1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(далее - операция по отражению вооруженного вторжения), находящимися (находившимися) на указанных территориях служащими (работниками) правоохранительных органов Российской Федерации, гражданами, выполняющими (выполнявшими) служебные и иные аналогичные функции на указанных территориях;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- с гражданами, призванными на военную службу по мобилизации в Вооруженные Силы Российской Федерации, гражданами, заключившими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и (или) выполнения ими задач в ходе участия в операции по отражению вооруженного вторжения, гражданами,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при условии их участия в специальной военной операции;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bookmarkStart w:id="2" w:name="P38"/>
            <w:bookmarkEnd w:id="2"/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- с лицами,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- с членами семьи граждан, указанных в </w:t>
            </w:r>
            <w:hyperlink w:anchor="P36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абзацах третьем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- </w:t>
            </w:r>
            <w:hyperlink w:anchor="P38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пятом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настоящего подпункта, погибших (умерших) вследствие увечья (ранения, травмы, контузии) или заболевания, полученных ими при указанных в </w:t>
            </w:r>
            <w:hyperlink w:anchor="P36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абзацах третьем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- </w:t>
            </w:r>
            <w:hyperlink w:anchor="P38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пятом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настоящего подпункта обстоятельствах (супруга (супруг), состоявшая (состоявший) в зарегистрированном браке с гражданином, указанным в </w:t>
            </w:r>
            <w:hyperlink w:anchor="P36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абзацах третьем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- </w:t>
            </w:r>
            <w:hyperlink w:anchor="P38" w:tgtFrame="_top">
              <w:r>
                <w:rPr>
                  <w:rFonts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пятом</w:t>
              </w:r>
            </w:hyperlink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настоящего подпункта, на день его гибели (смерти), не вступившая (не вступивший) в повторный брак; дети в возрасте до 18 лет; дети в возрасте до 23 лет, обучающиеся в организации, осуществляющей образовательную деятельность, по очной форме обучения; дети старше 18 лет, получившие инвалидность в детстве (включая усыновленных (удочеренных); родитель (родители));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2) во вторую очередь - с гражданами, имеющими трех и более детей.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3) в третью очередь - с гражданами, относящимися к категории молодых семей, в которых возраст хотя бы одного из супругов не превышает 35 лет, либо неполных семей, состоящих из одного молодого родителя, возраст которого не превышает 35 лет, и одного и более детей;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4) в четвертую очередь - с гражданами, признанными нуждающимися в жилых помещениях по основаниям, предусмотренным жилищным законодательством, и проживающими в границах сельских населенных пунктов;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bookmarkStart w:id="3" w:name="P47"/>
            <w:bookmarkEnd w:id="3"/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5) в пятую очередь - с гражданами, являющимися членами казачьих обществ, внесенных в государственный реестр казачьих обществ в Российской Федерации и осуществляющих деятельность на территории Курганской области;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6) в шестую очередь - с иными гражданами.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Департамент гражданской защиты, охраны окружающей среды и природных ресурсов Курганской области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- заявление, в котором указываются следующие сведения: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1) фамилия, имя, отчество гражданина, место жительства, данные документа, удостоверяющего личность;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2) наименование лесничества (лесопарка), в границах которого предполагается осуществить куплю-продажу лесных насаждений;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3) вид использования лесов, требуемый объем древесины с учетом нормативов заготовки древесины для собственных нужд, установленных законодательством Курганской области;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4) качественные показатели древесины (хозяйство: хвойное или мягколиственное; категория технической годности: деловая или дровяная).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При обращении за предоставлением государственной услуги от имени заявителя представитель заявителя представляет документ, подтверждающий его полномочия.</w:t>
            </w:r>
          </w:p>
        </w:tc>
      </w:tr>
      <w:tr>
        <w:trPr>
          <w:trHeight w:val="1009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действующим законодательством не предусмотрены.</w:t>
            </w:r>
            <w:bookmarkStart w:id="4" w:name="_GoBack"/>
            <w:bookmarkEnd w:id="4"/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1) заключение договора купли-продажи между Департаментом и заявителем;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2) направление заявителю мотивированного отказа в заключении между Департаментом и заявителем договора купли-продажи и возврат заявителю заявления о предоставлении государственной услуги.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15 дней со дня поступления документов в Департамент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Основания для отказа в приеме документов, необходимых для предоставления государственной услуги, отсутствуют.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Предоставление государственной услуги для заявителя является бесплатным.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Заявитель производит оплату по договору купли-продажи по </w:t>
            </w:r>
            <w:hyperlink r:id="rId3">
              <w:r>
                <w:rPr>
                  <w:rFonts w:cs="Arial"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ставкам</w:t>
              </w:r>
            </w:hyperlink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платы, установленным Постановлением Правительства Курганской области от 29 марта 2016 года N 62 "О ставках платы для граждан по договору купли-продажи лесных насаждений для собственных нужд".</w:t>
            </w:r>
          </w:p>
          <w:p>
            <w:pPr>
              <w:pStyle w:val="ConsPlusNormal1"/>
              <w:widowControl w:val="false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(в ред. </w:t>
            </w:r>
            <w:hyperlink r:id="rId4">
              <w:r>
                <w:rPr>
                  <w:rFonts w:cs="Arial" w:ascii="Arial" w:hAnsi="Arial"/>
                  <w:b w:val="false"/>
                  <w:bCs w:val="false"/>
                  <w:color w:val="000000"/>
                  <w:sz w:val="22"/>
                  <w:szCs w:val="22"/>
                  <w:shd w:fill="auto" w:val="clear"/>
                </w:rPr>
                <w:t>Указа</w:t>
              </w:r>
            </w:hyperlink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 Губернатора Курганской области от 30.12.2016 N 381)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181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b w:val="false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Указ Губернатора Курганской области от 22 марта 2013 г. № 98 «Об утверждении Административного регламента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предоставления Департаментом природных ресурсов и охраны окружающей среды Курганской области государственной услуги по заключению договоров купли-продажи лесных насаждений для собственных нужд граждан»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d7434a"/>
    <w:rPr>
      <w:b/>
      <w:bCs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6510d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9406&amp;dst=100339" TargetMode="External"/><Relationship Id="rId3" Type="http://schemas.openxmlformats.org/officeDocument/2006/relationships/hyperlink" Target="consultantplus://offline/ref=38AA3226A056E69FD18EFBA114C1129A02D0E60C7C29B5F527B83DA46F1371721D90BA4F7196F1DD931FDBBD6D107DE48EE62D1DA2108B3B7A122Bs5y5D" TargetMode="External"/><Relationship Id="rId4" Type="http://schemas.openxmlformats.org/officeDocument/2006/relationships/hyperlink" Target="consultantplus://offline/ref=38AA3226A056E69FD18EFBA114C1129A02D0E60C7B2FBAF126B83DA46F1371721D90BA4F7196F1DD931FDBBB6D107DE48EE62D1DA2108B3B7A122Bs5y5D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LibreOffice/7.0.4.2$Windows_X86_64 LibreOffice_project/dcf040e67528d9187c66b2379df5ea4407429775</Application>
  <AppVersion>15.0000</AppVersion>
  <Pages>4</Pages>
  <Words>848</Words>
  <Characters>6090</Characters>
  <CharactersWithSpaces>6900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2019-04-12T03:46:00Z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2025-07-24T14:48:54Z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