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>
        <w:trPr>
          <w:trHeight w:val="57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Управление охотничьего хозяйства Курганской области</w:t>
            </w:r>
          </w:p>
        </w:tc>
      </w:tr>
      <w:tr>
        <w:trPr>
          <w:trHeight w:val="8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Заявителями являются физические лица, сведения о которых содержатся в государственном охотхозяйственном реестре, их уполномоченные представители, для осуществления ими охоты в общедоступных охотничьих угодьях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Департамент гражданской защиты, охраны окружающей среды и природных ресурсов Курганской области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заявление, в котором указываются: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фамилия, имя, отчество (при наличии) заявителя;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вид охоты, который предполагается осуществлять;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сведения о добываемых охотничьих ресурсах и их количестве;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предполагаемые сроки охоты;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места охоты;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дата выдачи охотничьего билета и его учетные серия и номер.</w:t>
            </w:r>
          </w:p>
          <w:p>
            <w:pPr>
              <w:pStyle w:val="ConsPlusNormal1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Заявление подписывается заявителем.</w:t>
            </w:r>
          </w:p>
        </w:tc>
      </w:tr>
      <w:tr>
        <w:trPr>
          <w:trHeight w:val="129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Заявитель вправе по собственной инициативе указать в заявлении дополнительные сведения, в том числе почтовый адрес, контактный телефон, адрес электронной почты, а также сведения о невозможности получения разрешения на добычу охотничьих ресурсов лично.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документ, подтверждающий уплату заявителем государственной пошлины за выдачу разрешения на добычу охотничьих ресурсов;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документ, подтверждающий уплату заявителем сбора за пользование объектами животного мира.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выдача разрешения на добычу охотничьих ресурсов;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- отказ в выдаче разрешения на добычу охотничьих ресурсов.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 рабочих дней со дня получения документов Департаментом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</w:t>
            </w:r>
            <w:hyperlink r:id="rId2">
              <w:r>
                <w:rPr>
                  <w:rFonts w:cs="Arial" w:ascii="Arial" w:hAnsi="Arial"/>
                  <w:color w:val="0000FF"/>
                  <w:sz w:val="21"/>
                  <w:szCs w:val="21"/>
                </w:rPr>
                <w:t>подпунктом 96 пункта 1 статьи 333.33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Налогового кодекса Российской Федерации, а также уплачивается сбор за пользование объектами животного мира в соответствии с </w:t>
            </w:r>
            <w:hyperlink r:id="rId3">
              <w:r>
                <w:rPr>
                  <w:rFonts w:cs="Arial" w:ascii="Arial" w:hAnsi="Arial"/>
                  <w:color w:val="0000FF"/>
                  <w:sz w:val="21"/>
                  <w:szCs w:val="21"/>
                </w:rPr>
                <w:t>пунктами 1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- </w:t>
            </w:r>
            <w:hyperlink r:id="rId4">
              <w:r>
                <w:rPr>
                  <w:rFonts w:cs="Arial" w:ascii="Arial" w:hAnsi="Arial"/>
                  <w:color w:val="0000FF"/>
                  <w:sz w:val="21"/>
                  <w:szCs w:val="21"/>
                </w:rPr>
                <w:t>3 статьи 333.3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Налогового кодекса Российской Федерации.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Платежные реквизиты по перечислению государственной пошлины за выдачу разрешения на добычу охотничьих ресурсов, а также сбора за пользование объектами животного мира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      </w:r>
          </w:p>
        </w:tc>
      </w:tr>
      <w:tr>
        <w:trPr>
          <w:trHeight w:val="181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highlight w:val="yellow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626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МИНИСТЕРСТВО ПРИРОДНЫХ РЕСУРСОВ И ЭКОЛОГИИ</w:t>
            </w:r>
          </w:p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РОССИЙСКОЙ ФЕДЕРАЦИИ</w:t>
            </w:r>
          </w:p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ПРИКАЗ</w:t>
            </w:r>
          </w:p>
          <w:p>
            <w:pPr>
              <w:pStyle w:val="ConsPlusNormal1"/>
              <w:widowControl w:val="false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от 12 февраля 2021 г. N 95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8160b2"/>
    <w:rPr>
      <w:i/>
      <w:iCs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575d31"/>
    <w:rPr>
      <w:rFonts w:ascii="Calibri" w:hAnsi="Calibri" w:eastAsia="Times New Roman" w:cs="Calibri"/>
      <w:szCs w:val="20"/>
      <w:lang w:eastAsia="ru-RU"/>
    </w:rPr>
  </w:style>
  <w:style w:type="character" w:styleId="Ngscope" w:customStyle="1">
    <w:name w:val="ng-scope"/>
    <w:basedOn w:val="DefaultParagraphFont"/>
    <w:qFormat/>
    <w:rsid w:val="000f6416"/>
    <w:rPr/>
  </w:style>
  <w:style w:type="character" w:styleId="Strong">
    <w:name w:val="Strong"/>
    <w:basedOn w:val="DefaultParagraphFont"/>
    <w:uiPriority w:val="22"/>
    <w:qFormat/>
    <w:rsid w:val="00d7434a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6510d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356B20E44E5F3BE600B3B40A0C983C84A33B678C8C6A0571A88757AC3730BC3D14E2F6872E1FF1D9117AFC4766ED0DBB849014D611FqDRAD" TargetMode="External"/><Relationship Id="rId3" Type="http://schemas.openxmlformats.org/officeDocument/2006/relationships/hyperlink" Target="consultantplus://offline/ref=C356B20E44E5F3BE600B3B40A0C983C84A33B678C8C6A0571A88757AC3730BC3D14E2F6974E3F2429402BE9C7A6DCCC5BC531D4F60q1R7D" TargetMode="External"/><Relationship Id="rId4" Type="http://schemas.openxmlformats.org/officeDocument/2006/relationships/hyperlink" Target="consultantplus://offline/ref=C356B20E44E5F3BE600B3B40A0C983C84A33B678C8C6A0571A88757AC3730BC3D14E2F6974E0F2429402BE9C7A6DCCC5BC531D4F60q1R7D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2</Pages>
  <Words>324</Words>
  <Characters>2357</Characters>
  <CharactersWithSpaces>2644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2022-06-17T08:54:00Z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2024-03-20T08:42:28Z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