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5443" w:type="dxa"/>
        <w:jc w:val="left"/>
        <w:tblInd w:w="135" w:type="dxa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firstRow="1" w:noVBand="1" w:lastRow="0" w:firstColumn="1" w:lastColumn="0" w:noHBand="0" w:val="04a0"/>
      </w:tblPr>
      <w:tblGrid>
        <w:gridCol w:w="2447"/>
        <w:gridCol w:w="12995"/>
      </w:tblGrid>
      <w:tr>
        <w:trPr>
          <w:trHeight w:val="571" w:hRule="atLeast"/>
        </w:trPr>
        <w:tc>
          <w:tcPr>
            <w:tcW w:w="244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Наименование услуги</w:t>
            </w:r>
          </w:p>
        </w:tc>
        <w:tc>
          <w:tcPr>
            <w:tcW w:w="1299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eastAsia="Times New Roman" w:cs="Arial"/>
                <w:b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sz w:val="21"/>
                <w:szCs w:val="21"/>
                <w:lang w:eastAsia="ru-RU"/>
              </w:rPr>
              <w:t>Выдача разрешений на добычу охотничьих ресурсов, за исключением охотничьих ресурсов, находящихся на особо охраняемых природных территориях федерального значения, а также млекопитающих и птиц, занесенных в Красную книгу Российской Федерации</w:t>
            </w:r>
          </w:p>
        </w:tc>
      </w:tr>
      <w:tr>
        <w:trPr>
          <w:trHeight w:val="571" w:hRule="atLeast"/>
        </w:trPr>
        <w:tc>
          <w:tcPr>
            <w:tcW w:w="244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Ответственный орган</w:t>
            </w:r>
          </w:p>
        </w:tc>
        <w:tc>
          <w:tcPr>
            <w:tcW w:w="1299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Управление охотничьего хозяйства Курганской области</w:t>
            </w:r>
          </w:p>
        </w:tc>
      </w:tr>
      <w:tr>
        <w:trPr>
          <w:trHeight w:val="826" w:hRule="atLeast"/>
        </w:trPr>
        <w:tc>
          <w:tcPr>
            <w:tcW w:w="244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Заявители</w:t>
            </w:r>
          </w:p>
        </w:tc>
        <w:tc>
          <w:tcPr>
            <w:tcW w:w="1299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ConsPlusNormal1"/>
              <w:widowControl w:val="false"/>
              <w:spacing w:before="220" w:after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Заявителями являются физические лица, сведения о которых содержатся в государственном охотхозяйственном реестре, их уполномоченные представители, для осуществления ими охоты в общедоступных охотничьих угодьях</w:t>
            </w:r>
          </w:p>
        </w:tc>
      </w:tr>
      <w:tr>
        <w:trPr/>
        <w:tc>
          <w:tcPr>
            <w:tcW w:w="244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Услуга предоставляется</w:t>
            </w:r>
          </w:p>
        </w:tc>
        <w:tc>
          <w:tcPr>
            <w:tcW w:w="1299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Управление охотничьего хозяйства Курганской области</w:t>
            </w:r>
          </w:p>
        </w:tc>
      </w:tr>
      <w:tr>
        <w:trPr>
          <w:trHeight w:val="885" w:hRule="atLeast"/>
        </w:trPr>
        <w:tc>
          <w:tcPr>
            <w:tcW w:w="244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Обязательные документы</w:t>
            </w:r>
          </w:p>
        </w:tc>
        <w:tc>
          <w:tcPr>
            <w:tcW w:w="1299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ConsPlusNormal1"/>
              <w:widowControl w:val="false"/>
              <w:ind w:firstLine="540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- заявление, в котором указываются:</w:t>
            </w:r>
          </w:p>
          <w:p>
            <w:pPr>
              <w:pStyle w:val="ConsPlusNormal1"/>
              <w:widowControl w:val="false"/>
              <w:spacing w:before="220" w:after="0"/>
              <w:ind w:firstLine="540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фамилия, имя, отчество (при наличии) заявителя;</w:t>
            </w:r>
          </w:p>
          <w:p>
            <w:pPr>
              <w:pStyle w:val="ConsPlusNormal1"/>
              <w:widowControl w:val="false"/>
              <w:spacing w:before="220" w:after="0"/>
              <w:ind w:firstLine="540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вид охоты, который предполагается осуществлять;</w:t>
            </w:r>
          </w:p>
          <w:p>
            <w:pPr>
              <w:pStyle w:val="ConsPlusNormal1"/>
              <w:widowControl w:val="false"/>
              <w:spacing w:before="220" w:after="0"/>
              <w:ind w:firstLine="540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сведения о добываемых охотничьих ресурсах и их количестве;</w:t>
            </w:r>
          </w:p>
          <w:p>
            <w:pPr>
              <w:pStyle w:val="ConsPlusNormal1"/>
              <w:widowControl w:val="false"/>
              <w:spacing w:before="220" w:after="0"/>
              <w:ind w:firstLine="540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предполагаемые сроки охоты;</w:t>
            </w:r>
          </w:p>
          <w:p>
            <w:pPr>
              <w:pStyle w:val="ConsPlusNormal1"/>
              <w:widowControl w:val="false"/>
              <w:spacing w:before="220" w:after="0"/>
              <w:ind w:firstLine="540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места охоты;</w:t>
            </w:r>
          </w:p>
          <w:p>
            <w:pPr>
              <w:pStyle w:val="ConsPlusNormal1"/>
              <w:widowControl w:val="false"/>
              <w:spacing w:before="220" w:after="0"/>
              <w:ind w:firstLine="540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дата выдачи охотничьего билета и его учетные серия и номер.</w:t>
            </w:r>
          </w:p>
          <w:p>
            <w:pPr>
              <w:pStyle w:val="ConsPlusNormal1"/>
              <w:widowControl w:val="false"/>
              <w:spacing w:before="220" w:after="0"/>
              <w:ind w:firstLine="540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Заявление подписывается заявителем.</w:t>
            </w:r>
          </w:p>
        </w:tc>
      </w:tr>
      <w:tr>
        <w:trPr>
          <w:trHeight w:val="1295" w:hRule="atLeast"/>
        </w:trPr>
        <w:tc>
          <w:tcPr>
            <w:tcW w:w="244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Необязательные документы</w:t>
            </w:r>
          </w:p>
        </w:tc>
        <w:tc>
          <w:tcPr>
            <w:tcW w:w="1299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ConsPlusNormal1"/>
              <w:widowControl w:val="false"/>
              <w:spacing w:before="220" w:after="0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Заявитель вправе по собственной инициативе указать в заявлении дополнительные сведения, в том числе почтовый адрес, контактный телефон, адрес электронной почты, а также сведения о невозможности получения разрешения на добычу охотничьих ресурсов лично.</w:t>
            </w:r>
          </w:p>
          <w:p>
            <w:pPr>
              <w:pStyle w:val="ConsPlusNormal1"/>
              <w:widowControl w:val="false"/>
              <w:spacing w:before="220" w:after="0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- документ, подтверждающий уплату заявителем государственной пошлины за выдачу разрешения на добычу охотничьих ресурсов;</w:t>
            </w:r>
          </w:p>
          <w:p>
            <w:pPr>
              <w:pStyle w:val="ConsPlusNormal1"/>
              <w:widowControl w:val="false"/>
              <w:spacing w:before="220" w:after="0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- документ, подтверждающий уплату заявителем сбора за пользование объектами животного мира.</w:t>
            </w:r>
          </w:p>
        </w:tc>
      </w:tr>
      <w:tr>
        <w:trPr/>
        <w:tc>
          <w:tcPr>
            <w:tcW w:w="244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Результат</w:t>
            </w:r>
          </w:p>
        </w:tc>
        <w:tc>
          <w:tcPr>
            <w:tcW w:w="1299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ConsPlusNormal1"/>
              <w:widowControl w:val="false"/>
              <w:spacing w:before="220" w:after="0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- выдача разрешения на добычу охотничьих ресурсов;</w:t>
            </w:r>
          </w:p>
          <w:p>
            <w:pPr>
              <w:pStyle w:val="ConsPlusNormal1"/>
              <w:widowControl w:val="false"/>
              <w:spacing w:before="220" w:after="0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- отказ в выдаче разрешения на добычу охотничьих ресурсов.</w:t>
            </w:r>
          </w:p>
        </w:tc>
      </w:tr>
      <w:tr>
        <w:trPr/>
        <w:tc>
          <w:tcPr>
            <w:tcW w:w="244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Срок предоставления услуги</w:t>
            </w:r>
          </w:p>
        </w:tc>
        <w:tc>
          <w:tcPr>
            <w:tcW w:w="1299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 xml:space="preserve">5 рабочих дней со дня получения документов </w:t>
            </w:r>
            <w:r>
              <w:rPr>
                <w:rFonts w:cs="Arial" w:ascii="Arial" w:hAnsi="Arial"/>
                <w:sz w:val="21"/>
                <w:szCs w:val="21"/>
              </w:rPr>
              <w:t>управлением</w:t>
            </w:r>
          </w:p>
        </w:tc>
      </w:tr>
      <w:tr>
        <w:trPr/>
        <w:tc>
          <w:tcPr>
            <w:tcW w:w="244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299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ru-RU"/>
              </w:rPr>
              <w:t>нет</w:t>
            </w:r>
          </w:p>
        </w:tc>
      </w:tr>
      <w:tr>
        <w:trPr>
          <w:trHeight w:val="523" w:hRule="atLeast"/>
        </w:trPr>
        <w:tc>
          <w:tcPr>
            <w:tcW w:w="244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sz w:val="21"/>
                <w:szCs w:val="21"/>
                <w:lang w:eastAsia="ru-RU"/>
              </w:rPr>
              <w:t>Стоимость</w:t>
            </w:r>
          </w:p>
        </w:tc>
        <w:tc>
          <w:tcPr>
            <w:tcW w:w="1299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ConsPlusNormal1"/>
              <w:widowControl w:val="false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 xml:space="preserve">За предоставление государственной услуги по выдаче разрешений на добычу охотничьих ресурсов взимается государственная пошлина в размере, установленном </w:t>
            </w:r>
            <w:hyperlink r:id="rId2">
              <w:r>
                <w:rPr>
                  <w:rFonts w:cs="Arial" w:ascii="Arial" w:hAnsi="Arial"/>
                  <w:color w:val="0000FF"/>
                  <w:sz w:val="21"/>
                  <w:szCs w:val="21"/>
                </w:rPr>
                <w:t>подпунктом 96 пункта 1 статьи 333.33</w:t>
              </w:r>
            </w:hyperlink>
            <w:r>
              <w:rPr>
                <w:rFonts w:cs="Arial" w:ascii="Arial" w:hAnsi="Arial"/>
                <w:sz w:val="21"/>
                <w:szCs w:val="21"/>
              </w:rPr>
              <w:t xml:space="preserve"> Налогового кодекса Российской Федерации, а также уплачивается сбор за пользование объектами животного мира в соответствии с </w:t>
            </w:r>
            <w:hyperlink r:id="rId3">
              <w:r>
                <w:rPr>
                  <w:rFonts w:cs="Arial" w:ascii="Arial" w:hAnsi="Arial"/>
                  <w:color w:val="0000FF"/>
                  <w:sz w:val="21"/>
                  <w:szCs w:val="21"/>
                </w:rPr>
                <w:t>пунктами 1</w:t>
              </w:r>
            </w:hyperlink>
            <w:r>
              <w:rPr>
                <w:rFonts w:cs="Arial" w:ascii="Arial" w:hAnsi="Arial"/>
                <w:sz w:val="21"/>
                <w:szCs w:val="21"/>
              </w:rPr>
              <w:t xml:space="preserve"> - </w:t>
            </w:r>
            <w:hyperlink r:id="rId4">
              <w:r>
                <w:rPr>
                  <w:rFonts w:cs="Arial" w:ascii="Arial" w:hAnsi="Arial"/>
                  <w:color w:val="0000FF"/>
                  <w:sz w:val="21"/>
                  <w:szCs w:val="21"/>
                </w:rPr>
                <w:t>3 статьи 333.3</w:t>
              </w:r>
            </w:hyperlink>
            <w:r>
              <w:rPr>
                <w:rFonts w:cs="Arial" w:ascii="Arial" w:hAnsi="Arial"/>
                <w:sz w:val="21"/>
                <w:szCs w:val="21"/>
              </w:rPr>
              <w:t xml:space="preserve"> Налогового кодекса Российской Федерации.</w:t>
            </w:r>
          </w:p>
          <w:p>
            <w:pPr>
              <w:pStyle w:val="ConsPlusNormal1"/>
              <w:widowControl w:val="false"/>
              <w:spacing w:before="220" w:after="0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Платежные реквизиты по перечислению государственной пошлины за выдачу разрешения на добычу охотничьих ресурсов, а также сбора за пользование объектами животного мира размещаются на информационных стендах, официальных сайтах уполномоченных органов в информационно-телекоммуникационной сети "Интернет", Едином портале.</w:t>
            </w:r>
          </w:p>
        </w:tc>
      </w:tr>
      <w:tr>
        <w:trPr>
          <w:trHeight w:val="1818" w:hRule="atLeast"/>
        </w:trPr>
        <w:tc>
          <w:tcPr>
            <w:tcW w:w="244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299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eastAsia="Times New Roman" w:cs="Arial"/>
                <w:sz w:val="21"/>
                <w:szCs w:val="21"/>
                <w:highlight w:val="yellow"/>
                <w:lang w:eastAsia="ru-RU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highlight w:val="yellow"/>
                <w:lang w:eastAsia="ru-RU"/>
              </w:rPr>
            </w:r>
            <w:bookmarkStart w:id="0" w:name="_GoBack"/>
            <w:bookmarkStart w:id="1" w:name="_GoBack"/>
            <w:bookmarkEnd w:id="1"/>
          </w:p>
        </w:tc>
      </w:tr>
      <w:tr>
        <w:trPr>
          <w:trHeight w:val="626" w:hRule="atLeast"/>
        </w:trPr>
        <w:tc>
          <w:tcPr>
            <w:tcW w:w="244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Административный регламент</w:t>
            </w:r>
          </w:p>
        </w:tc>
        <w:tc>
          <w:tcPr>
            <w:tcW w:w="1299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ConsPlusNormal1"/>
              <w:widowControl w:val="false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МИНИСТЕРСТВО ПРИРОДНЫХ РЕСУРСОВ И ЭКОЛОГИИ</w:t>
            </w:r>
          </w:p>
          <w:p>
            <w:pPr>
              <w:pStyle w:val="ConsPlusNormal1"/>
              <w:widowControl w:val="false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РОССИЙСКОЙ ФЕДЕРАЦИИ</w:t>
            </w:r>
          </w:p>
          <w:p>
            <w:pPr>
              <w:pStyle w:val="ConsPlusNormal1"/>
              <w:widowControl w:val="false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ПРИКАЗ</w:t>
            </w:r>
          </w:p>
          <w:p>
            <w:pPr>
              <w:pStyle w:val="ConsPlusNormal1"/>
              <w:widowControl w:val="false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от 12 февраля 2021 г. N 95</w:t>
            </w:r>
          </w:p>
        </w:tc>
      </w:tr>
    </w:tbl>
    <w:p>
      <w:pPr>
        <w:pStyle w:val="Normal"/>
        <w:spacing w:before="0" w:after="200"/>
        <w:jc w:val="right"/>
        <w:rPr>
          <w:rFonts w:ascii="Arial" w:hAnsi="Arial" w:cs="Arial"/>
          <w:sz w:val="21"/>
          <w:szCs w:val="21"/>
        </w:rPr>
      </w:pPr>
      <w:r>
        <w:rPr/>
      </w:r>
    </w:p>
    <w:sectPr>
      <w:type w:val="nextPage"/>
      <w:pgSz w:orient="landscape" w:w="16838" w:h="11906"/>
      <w:pgMar w:left="851" w:right="1134" w:header="0" w:top="426" w:footer="0" w:bottom="85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Balloon Text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10"/>
    <w:uiPriority w:val="9"/>
    <w:qFormat/>
    <w:rsid w:val="000a15b1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выноски Знак"/>
    <w:basedOn w:val="DefaultParagraphFont"/>
    <w:link w:val="a3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styleId="11" w:customStyle="1">
    <w:name w:val="Заголовок 1 Знак"/>
    <w:basedOn w:val="DefaultParagraphFont"/>
    <w:link w:val="1"/>
    <w:uiPriority w:val="9"/>
    <w:qFormat/>
    <w:rsid w:val="000a15b1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Style14">
    <w:name w:val="Интернет-ссылка"/>
    <w:basedOn w:val="DefaultParagraphFont"/>
    <w:uiPriority w:val="99"/>
    <w:semiHidden/>
    <w:unhideWhenUsed/>
    <w:rsid w:val="00564d10"/>
    <w:rPr>
      <w:color w:val="0000FF"/>
      <w:u w:val="single"/>
    </w:rPr>
  </w:style>
  <w:style w:type="character" w:styleId="Style15">
    <w:name w:val="Выделение"/>
    <w:basedOn w:val="DefaultParagraphFont"/>
    <w:uiPriority w:val="20"/>
    <w:qFormat/>
    <w:rsid w:val="008160b2"/>
    <w:rPr>
      <w:i/>
      <w:iCs/>
    </w:rPr>
  </w:style>
  <w:style w:type="character" w:styleId="ConsPlusNormal" w:customStyle="1">
    <w:name w:val="ConsPlusNormal Знак"/>
    <w:basedOn w:val="DefaultParagraphFont"/>
    <w:link w:val="ConsPlusNormal"/>
    <w:qFormat/>
    <w:locked/>
    <w:rsid w:val="00575d31"/>
    <w:rPr>
      <w:rFonts w:ascii="Calibri" w:hAnsi="Calibri" w:eastAsia="Times New Roman" w:cs="Calibri"/>
      <w:szCs w:val="20"/>
      <w:lang w:eastAsia="ru-RU"/>
    </w:rPr>
  </w:style>
  <w:style w:type="character" w:styleId="Ngscope" w:customStyle="1">
    <w:name w:val="ng-scope"/>
    <w:basedOn w:val="DefaultParagraphFont"/>
    <w:qFormat/>
    <w:rsid w:val="000f6416"/>
    <w:rPr/>
  </w:style>
  <w:style w:type="character" w:styleId="Strong">
    <w:name w:val="Strong"/>
    <w:basedOn w:val="DefaultParagraphFont"/>
    <w:uiPriority w:val="22"/>
    <w:qFormat/>
    <w:rsid w:val="00d7434a"/>
    <w:rPr>
      <w:b/>
      <w:bCs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a4"/>
    <w:semiHidden/>
    <w:unhideWhenUsed/>
    <w:qFormat/>
    <w:rsid w:val="002363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6e5"/>
    <w:pPr>
      <w:spacing w:before="0" w:after="200"/>
      <w:ind w:left="720" w:hanging="0"/>
      <w:contextualSpacing/>
    </w:pPr>
    <w:rPr/>
  </w:style>
  <w:style w:type="paragraph" w:styleId="ConsPlusTitle" w:customStyle="1">
    <w:name w:val="ConsPlusTitle"/>
    <w:qFormat/>
    <w:rsid w:val="001f41f3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b/>
      <w:color w:val="auto"/>
      <w:kern w:val="0"/>
      <w:sz w:val="22"/>
      <w:szCs w:val="20"/>
      <w:lang w:val="ru-RU" w:eastAsia="ru-RU" w:bidi="ar-SA"/>
    </w:rPr>
  </w:style>
  <w:style w:type="paragraph" w:styleId="ConsPlusNormal1" w:customStyle="1">
    <w:name w:val="ConsPlusNormal"/>
    <w:link w:val="ConsPlusNormal0"/>
    <w:qFormat/>
    <w:rsid w:val="0039620a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val="ru-RU" w:eastAsia="ru-RU" w:bidi="ar-SA"/>
    </w:rPr>
  </w:style>
  <w:style w:type="paragraph" w:styleId="NormalWeb">
    <w:name w:val="Normal (Web)"/>
    <w:basedOn w:val="Normal"/>
    <w:uiPriority w:val="99"/>
    <w:unhideWhenUsed/>
    <w:qFormat/>
    <w:rsid w:val="004b3fc2"/>
    <w:pPr>
      <w:spacing w:lineRule="auto" w:line="240" w:beforeAutospacing="1" w:after="0"/>
      <w:jc w:val="both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Western" w:customStyle="1">
    <w:name w:val="western"/>
    <w:basedOn w:val="Normal"/>
    <w:qFormat/>
    <w:rsid w:val="006c56f7"/>
    <w:pPr>
      <w:spacing w:lineRule="auto" w:line="240" w:beforeAutospacing="1" w:after="0"/>
      <w:jc w:val="both"/>
    </w:pPr>
    <w:rPr>
      <w:rFonts w:ascii="Liberation Sans" w:hAnsi="Liberation Sans" w:eastAsia="Times New Roman" w:cs="Liberation Sans"/>
      <w:color w:val="000000"/>
      <w:sz w:val="24"/>
      <w:szCs w:val="24"/>
      <w:lang w:eastAsia="ru-RU"/>
    </w:rPr>
  </w:style>
  <w:style w:type="paragraph" w:styleId="Frgutexttitle" w:customStyle="1">
    <w:name w:val="frgu-text-title"/>
    <w:basedOn w:val="Normal"/>
    <w:qFormat/>
    <w:rsid w:val="00762a9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Ngbinding" w:customStyle="1">
    <w:name w:val="ng-binding"/>
    <w:basedOn w:val="Normal"/>
    <w:qFormat/>
    <w:rsid w:val="00762a9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onsPlusCell" w:customStyle="1">
    <w:name w:val="ConsPlusCell"/>
    <w:qFormat/>
    <w:rsid w:val="006510d7"/>
    <w:pPr>
      <w:widowControl w:val="false"/>
      <w:suppressAutoHyphens w:val="tru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C356B20E44E5F3BE600B3B40A0C983C84A33B678C8C6A0571A88757AC3730BC3D14E2F6872E1FF1D9117AFC4766ED0DBB849014D611FqDRAD" TargetMode="External"/><Relationship Id="rId3" Type="http://schemas.openxmlformats.org/officeDocument/2006/relationships/hyperlink" Target="consultantplus://offline/ref=C356B20E44E5F3BE600B3B40A0C983C84A33B678C8C6A0571A88757AC3730BC3D14E2F6974E3F2429402BE9C7A6DCCC5BC531D4F60q1R7D" TargetMode="External"/><Relationship Id="rId4" Type="http://schemas.openxmlformats.org/officeDocument/2006/relationships/hyperlink" Target="consultantplus://offline/ref=C356B20E44E5F3BE600B3B40A0C983C84A33B678C8C6A0571A88757AC3730BC3D14E2F6974E0F2429402BE9C7A6DCCC5BC531D4F60q1R7D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LibreOffice/7.0.4.2$Windows_X86_64 LibreOffice_project/dcf040e67528d9187c66b2379df5ea4407429775</Application>
  <AppVersion>15.0000</AppVersion>
  <Pages>2</Pages>
  <Words>318</Words>
  <Characters>2317</Characters>
  <CharactersWithSpaces>2598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2022-06-17T08:54:00Z</dcterms:created>
  <dc:creator>Надежда Николаевна Плотникова</dc:creator>
  <dc:description/>
  <dc:language>ru-RU</dc:language>
  <cp:lastModifiedBy/>
  <cp:lastPrinted>2018-08-08T10:10:00Z</cp:lastPrinted>
  <dcterms:modified xsi:type="dcterms:W3CDTF">2024-08-06T14:28:43Z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