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44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47"/>
        <w:gridCol w:w="12995"/>
      </w:tblGrid>
      <w:tr>
        <w:trPr>
          <w:trHeight w:val="571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Выдача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</w:t>
            </w:r>
          </w:p>
        </w:tc>
      </w:tr>
      <w:tr>
        <w:trPr>
          <w:trHeight w:val="571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Управление охотничьего хозяйства Курганской области</w:t>
            </w:r>
          </w:p>
        </w:tc>
      </w:tr>
      <w:tr>
        <w:trPr>
          <w:trHeight w:val="826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pacing w:before="220" w:after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Заявителями являются физические лица, сведения о которых содержатся в государственном охотхозяйственном реестре, их уполномоченные представители, для осуществления ими охоты в общедоступных охотничьих угодьях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Управление охотничьего хозяйства Курганской области</w:t>
            </w:r>
          </w:p>
        </w:tc>
      </w:tr>
      <w:tr>
        <w:trPr>
          <w:trHeight w:val="885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- заявление, в котором указываются:</w:t>
            </w:r>
          </w:p>
          <w:p>
            <w:pPr>
              <w:pStyle w:val="ConsPlusNormal1"/>
              <w:widowControl w:val="false"/>
              <w:spacing w:before="220" w:after="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фамилия, имя, отчество (при наличии) заявителя;</w:t>
            </w:r>
          </w:p>
          <w:p>
            <w:pPr>
              <w:pStyle w:val="ConsPlusNormal1"/>
              <w:widowControl w:val="false"/>
              <w:spacing w:before="220" w:after="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вид охоты, который предполагается осуществлять;</w:t>
            </w:r>
          </w:p>
          <w:p>
            <w:pPr>
              <w:pStyle w:val="ConsPlusNormal1"/>
              <w:widowControl w:val="false"/>
              <w:spacing w:before="220" w:after="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сведения о добываемых охотничьих ресурсах и их количестве;</w:t>
            </w:r>
          </w:p>
          <w:p>
            <w:pPr>
              <w:pStyle w:val="ConsPlusNormal1"/>
              <w:widowControl w:val="false"/>
              <w:spacing w:before="220" w:after="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предполагаемые сроки охоты;</w:t>
            </w:r>
          </w:p>
          <w:p>
            <w:pPr>
              <w:pStyle w:val="ConsPlusNormal1"/>
              <w:widowControl w:val="false"/>
              <w:spacing w:before="220" w:after="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места охоты;</w:t>
            </w:r>
          </w:p>
          <w:p>
            <w:pPr>
              <w:pStyle w:val="ConsPlusNormal1"/>
              <w:widowControl w:val="false"/>
              <w:spacing w:before="220" w:after="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дата выдачи охотничьего билета и его учетные серия и номер.</w:t>
            </w:r>
          </w:p>
          <w:p>
            <w:pPr>
              <w:pStyle w:val="ConsPlusNormal1"/>
              <w:widowControl w:val="false"/>
              <w:spacing w:before="220" w:after="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Заявление подписывается заявителем.</w:t>
            </w:r>
          </w:p>
        </w:tc>
      </w:tr>
      <w:tr>
        <w:trPr>
          <w:trHeight w:val="1295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pacing w:before="220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Заявитель вправе по собственной инициативе указать в заявлении дополнительные сведения, в том числе почтовый адрес, контактный телефон, адрес электронной почты, а также сведения о невозможности получения разрешения на добычу охотничьих ресурсов лично.</w:t>
            </w:r>
          </w:p>
          <w:p>
            <w:pPr>
              <w:pStyle w:val="ConsPlusNormal1"/>
              <w:widowControl w:val="false"/>
              <w:spacing w:before="220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- документ, подтверждающий уплату заявителем государственной пошлины за выдачу разрешения на добычу охотничьих ресурсов;</w:t>
            </w:r>
          </w:p>
          <w:p>
            <w:pPr>
              <w:pStyle w:val="ConsPlusNormal1"/>
              <w:widowControl w:val="false"/>
              <w:spacing w:before="220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- документ, подтверждающий уплату заявителем сбора за пользование объектами животного мира.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pacing w:before="220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- выдача разрешения на добычу охотничьих ресурсов;</w:t>
            </w:r>
          </w:p>
          <w:p>
            <w:pPr>
              <w:pStyle w:val="ConsPlusNormal1"/>
              <w:widowControl w:val="false"/>
              <w:spacing w:before="220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- отказ в выдаче разрешения на добычу охотничьих ресурсов.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 xml:space="preserve">5 рабочих дней со дня получения документов </w:t>
            </w:r>
            <w:r>
              <w:rPr>
                <w:rFonts w:cs="Arial" w:ascii="Arial" w:hAnsi="Arial"/>
                <w:sz w:val="21"/>
                <w:szCs w:val="21"/>
              </w:rPr>
              <w:t>управлением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 xml:space="preserve">За предоставление государственной услуги по выдаче разрешений на добычу охотничьих ресурсов взимается государственная пошлина в размере, установленном </w:t>
            </w:r>
            <w:hyperlink r:id="rId2">
              <w:r>
                <w:rPr>
                  <w:rFonts w:cs="Arial" w:ascii="Arial" w:hAnsi="Arial"/>
                  <w:color w:val="0000FF"/>
                  <w:sz w:val="21"/>
                  <w:szCs w:val="21"/>
                </w:rPr>
                <w:t>подпунктом 96 пункта 1 статьи 333.33</w:t>
              </w:r>
            </w:hyperlink>
            <w:r>
              <w:rPr>
                <w:rFonts w:cs="Arial" w:ascii="Arial" w:hAnsi="Arial"/>
                <w:sz w:val="21"/>
                <w:szCs w:val="21"/>
              </w:rPr>
              <w:t xml:space="preserve"> Налогового кодекса Российской Федерации, а также уплачивается сбор за пользование объектами животного мира в соответствии с </w:t>
            </w:r>
            <w:hyperlink r:id="rId3">
              <w:r>
                <w:rPr>
                  <w:rFonts w:cs="Arial" w:ascii="Arial" w:hAnsi="Arial"/>
                  <w:color w:val="0000FF"/>
                  <w:sz w:val="21"/>
                  <w:szCs w:val="21"/>
                </w:rPr>
                <w:t>пунктами 1</w:t>
              </w:r>
            </w:hyperlink>
            <w:r>
              <w:rPr>
                <w:rFonts w:cs="Arial" w:ascii="Arial" w:hAnsi="Arial"/>
                <w:sz w:val="21"/>
                <w:szCs w:val="21"/>
              </w:rPr>
              <w:t xml:space="preserve"> - </w:t>
            </w:r>
            <w:hyperlink r:id="rId4">
              <w:r>
                <w:rPr>
                  <w:rFonts w:cs="Arial" w:ascii="Arial" w:hAnsi="Arial"/>
                  <w:color w:val="0000FF"/>
                  <w:sz w:val="21"/>
                  <w:szCs w:val="21"/>
                </w:rPr>
                <w:t>3 статьи 333.3</w:t>
              </w:r>
            </w:hyperlink>
            <w:r>
              <w:rPr>
                <w:rFonts w:cs="Arial" w:ascii="Arial" w:hAnsi="Arial"/>
                <w:sz w:val="21"/>
                <w:szCs w:val="21"/>
              </w:rPr>
              <w:t xml:space="preserve"> Налогового кодекса Российской Федерации.</w:t>
            </w:r>
          </w:p>
          <w:p>
            <w:pPr>
              <w:pStyle w:val="ConsPlusNormal1"/>
              <w:widowControl w:val="false"/>
              <w:spacing w:before="220" w:after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Платежные реквизиты по перечислению государственной пошлины за выдачу разрешения на добычу охотничьих ресурсов, а также сбора за пользование объектами животного мира размещаются на информационных стендах, официальных сайтах уполномоченных органов в информационно-телекоммуникационной сети "Интернет", Едином портале.</w:t>
            </w:r>
          </w:p>
        </w:tc>
      </w:tr>
      <w:tr>
        <w:trPr>
          <w:trHeight w:val="1818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1"/>
                <w:szCs w:val="21"/>
                <w:highlight w:val="yellow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highlight w:val="yellow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>
          <w:trHeight w:val="626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МИНИСТЕРСТВО ПРИРОДНЫХ РЕСУРСОВ И ЭКОЛОГИИ</w:t>
            </w:r>
          </w:p>
          <w:p>
            <w:pPr>
              <w:pStyle w:val="ConsPlusNormal1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РОССИЙСКОЙ ФЕДЕРАЦИИ</w:t>
            </w:r>
          </w:p>
          <w:p>
            <w:pPr>
              <w:pStyle w:val="ConsPlusNormal1"/>
              <w:widowControl w:val="false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ПРИКАЗ</w:t>
            </w:r>
          </w:p>
          <w:p>
            <w:pPr>
              <w:pStyle w:val="ConsPlusNormal1"/>
              <w:widowControl w:val="false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от 12 февраля 2021 г. N 95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8160b2"/>
    <w:rPr>
      <w:i/>
      <w:iCs/>
    </w:rPr>
  </w:style>
  <w:style w:type="character" w:styleId="ConsPlusNormal" w:customStyle="1">
    <w:name w:val="ConsPlusNormal Знак"/>
    <w:basedOn w:val="DefaultParagraphFont"/>
    <w:link w:val="ConsPlusNormal"/>
    <w:qFormat/>
    <w:locked/>
    <w:rsid w:val="00575d31"/>
    <w:rPr>
      <w:rFonts w:ascii="Calibri" w:hAnsi="Calibri" w:eastAsia="Times New Roman" w:cs="Calibri"/>
      <w:szCs w:val="20"/>
      <w:lang w:eastAsia="ru-RU"/>
    </w:rPr>
  </w:style>
  <w:style w:type="character" w:styleId="Ngscope" w:customStyle="1">
    <w:name w:val="ng-scope"/>
    <w:basedOn w:val="DefaultParagraphFont"/>
    <w:qFormat/>
    <w:rsid w:val="000f6416"/>
    <w:rPr/>
  </w:style>
  <w:style w:type="character" w:styleId="Strong">
    <w:name w:val="Strong"/>
    <w:basedOn w:val="DefaultParagraphFont"/>
    <w:uiPriority w:val="22"/>
    <w:qFormat/>
    <w:rsid w:val="00d7434a"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0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Cell" w:customStyle="1">
    <w:name w:val="ConsPlusCell"/>
    <w:qFormat/>
    <w:rsid w:val="006510d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356B20E44E5F3BE600B3B40A0C983C84A33B678C8C6A0571A88757AC3730BC3D14E2F6872E1FF1D9117AFC4766ED0DBB849014D611FqDRAD" TargetMode="External"/><Relationship Id="rId3" Type="http://schemas.openxmlformats.org/officeDocument/2006/relationships/hyperlink" Target="consultantplus://offline/ref=C356B20E44E5F3BE600B3B40A0C983C84A33B678C8C6A0571A88757AC3730BC3D14E2F6974E3F2429402BE9C7A6DCCC5BC531D4F60q1R7D" TargetMode="External"/><Relationship Id="rId4" Type="http://schemas.openxmlformats.org/officeDocument/2006/relationships/hyperlink" Target="consultantplus://offline/ref=C356B20E44E5F3BE600B3B40A0C983C84A33B678C8C6A0571A88757AC3730BC3D14E2F6974E0F2429402BE9C7A6DCCC5BC531D4F60q1R7D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LibreOffice/7.0.4.2$Windows_X86_64 LibreOffice_project/dcf040e67528d9187c66b2379df5ea4407429775</Application>
  <AppVersion>15.0000</AppVersion>
  <Pages>2</Pages>
  <Words>318</Words>
  <Characters>2317</Characters>
  <CharactersWithSpaces>2598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2022-06-17T08:54:00Z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2024-08-06T14:28:43Z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