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00"/>
        <w:gridCol w:w="12842"/>
      </w:tblGrid>
      <w:tr>
        <w:trPr>
          <w:trHeight w:val="571" w:hRule="atLeast"/>
        </w:trPr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Calibri" w:cs="Arial" w:eastAsiaTheme="minorHAnsi"/>
                <w:b/>
                <w:b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ascii="Arial" w:hAnsi="Arial" w:eastAsiaTheme="minorHAnsi"/>
                <w:b/>
                <w:color w:val="auto"/>
                <w:kern w:val="0"/>
                <w:sz w:val="24"/>
                <w:szCs w:val="24"/>
                <w:lang w:val="ru-RU" w:eastAsia="en-US" w:bidi="ar-SA"/>
              </w:rPr>
              <w:t>Выдача и аннулирование охотничьего билета единого федерального образца</w:t>
            </w:r>
          </w:p>
        </w:tc>
      </w:tr>
      <w:tr>
        <w:trPr>
          <w:trHeight w:val="571" w:hRule="atLeast"/>
        </w:trPr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CharStyle12"/>
                <w:rFonts w:ascii="Microsoft Sans Serif" w:hAnsi="Microsoft Sans Serif"/>
                <w:b/>
                <w:bCs/>
                <w:caps w:val="false"/>
                <w:smallCaps w:val="false"/>
                <w:color w:val="000000"/>
                <w:spacing w:val="0"/>
                <w:w w:val="100"/>
                <w:kern w:val="2"/>
                <w:position w:val="0"/>
                <w:sz w:val="23"/>
                <w:sz w:val="24"/>
                <w:szCs w:val="24"/>
                <w:shd w:fill="auto" w:val="clear"/>
                <w:vertAlign w:val="baseline"/>
                <w:lang w:val="ru-RU" w:eastAsia="ru-RU" w:bidi="ar-SA"/>
              </w:rPr>
              <w:t xml:space="preserve">Управление </w:t>
            </w:r>
            <w:r>
              <w:rPr>
                <w:rStyle w:val="CharStyle12"/>
                <w:rFonts w:ascii="Arial" w:hAnsi="Arial"/>
                <w:b/>
                <w:bCs/>
                <w:caps w:val="false"/>
                <w:smallCaps w:val="false"/>
                <w:color w:val="000000"/>
                <w:spacing w:val="0"/>
                <w:w w:val="100"/>
                <w:kern w:val="2"/>
                <w:position w:val="0"/>
                <w:sz w:val="23"/>
                <w:sz w:val="24"/>
                <w:szCs w:val="24"/>
                <w:shd w:fill="auto" w:val="clear"/>
                <w:vertAlign w:val="baseline"/>
                <w:lang w:val="ru-RU" w:eastAsia="ru-RU" w:bidi="ar-SA"/>
              </w:rPr>
              <w:t>охотничьего</w:t>
            </w:r>
            <w:r>
              <w:rPr>
                <w:rStyle w:val="CharStyle12"/>
                <w:rFonts w:ascii="Microsoft Sans Serif" w:hAnsi="Microsoft Sans Serif"/>
                <w:b/>
                <w:bCs/>
                <w:caps w:val="false"/>
                <w:smallCaps w:val="false"/>
                <w:color w:val="000000"/>
                <w:spacing w:val="0"/>
                <w:w w:val="100"/>
                <w:kern w:val="2"/>
                <w:position w:val="0"/>
                <w:sz w:val="23"/>
                <w:sz w:val="24"/>
                <w:szCs w:val="24"/>
                <w:shd w:fill="auto" w:val="clear"/>
                <w:vertAlign w:val="baseline"/>
                <w:lang w:val="ru-RU" w:eastAsia="ru-RU" w:bidi="ar-SA"/>
              </w:rPr>
              <w:t xml:space="preserve"> хозяйства Курганской области</w:t>
            </w:r>
          </w:p>
        </w:tc>
      </w:tr>
      <w:tr>
        <w:trPr>
          <w:trHeight w:val="826" w:hRule="atLeast"/>
        </w:trPr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521455b2f3e344afa2b375a9306cde2d"/>
              <w:widowControl w:val="false"/>
              <w:numPr>
                <w:ilvl w:val="0"/>
                <w:numId w:val="1"/>
              </w:numPr>
              <w:shd w:val="clear" w:color="FFFFFF" w:themeColor="background1" w:fill="FFFFFF" w:themeFill="background1"/>
              <w:spacing w:before="0" w:after="0"/>
              <w:ind w:left="0" w:right="-1" w:firstLine="709"/>
              <w:contextualSpacing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физическое лицо, достигшее возраста 16 лет, не признанное недееспособным, не имеющее непогашенной или неснятой судимости за совершение умышленного преступления, не лишенное права осуществлять охоту, а в случае, предусмотренном частью 1 статьи 21.1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Федерации», также прошедшее проверку знаний, входящих в охотничий минимум;</w:t>
            </w:r>
          </w:p>
          <w:p>
            <w:pPr>
              <w:pStyle w:val="ListParagraph521455b2f3e344afa2b375a9306cde2d"/>
              <w:widowControl w:val="false"/>
              <w:numPr>
                <w:ilvl w:val="0"/>
                <w:numId w:val="1"/>
              </w:numPr>
              <w:shd w:val="clear" w:color="FFFFFF" w:themeColor="background1" w:fill="FFFFFF" w:themeFill="background1"/>
              <w:spacing w:before="0" w:after="0"/>
              <w:ind w:left="0" w:right="-1" w:firstLine="709"/>
              <w:contextualSpacing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физическое лицо, имеющее действующий охотничий билет, сведения о котором внесены в государственный охотхозяйственный реестр;</w:t>
            </w:r>
          </w:p>
          <w:p>
            <w:pPr>
              <w:pStyle w:val="ListParagraph521455b2f3e344afa2b375a9306cde2d"/>
              <w:widowControl w:val="false"/>
              <w:numPr>
                <w:ilvl w:val="0"/>
                <w:numId w:val="1"/>
              </w:numPr>
              <w:shd w:val="clear" w:color="FFFFFF" w:themeColor="background1" w:fill="FFFFFF" w:themeFill="background1"/>
              <w:spacing w:before="0" w:after="0"/>
              <w:ind w:left="0" w:right="-1" w:firstLine="709"/>
              <w:contextualSpacing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физическое лицо, относящееся к коренным малочисленным народам Севера, Сибири и Дальнего Востока Российской Федерации либо не относящееся к указанным народам, но постоянно проживающее в местах их традиционного проживания и традиционной хозяйственной деятельности, и для которых охота является основой существования, и имеющее действующий охотничий билет, сведения о котором внесены в государственный охотхозяйственный реестр</w:t>
            </w:r>
          </w:p>
        </w:tc>
      </w:tr>
      <w:tr>
        <w:trPr/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CharStyle12"/>
                <w:rFonts w:ascii="Arial" w:hAnsi="Arial"/>
                <w:b w:val="false"/>
                <w:bCs w:val="false"/>
                <w:caps w:val="false"/>
                <w:smallCaps w:val="false"/>
                <w:color w:val="000000"/>
                <w:spacing w:val="0"/>
                <w:w w:val="100"/>
                <w:kern w:val="2"/>
                <w:position w:val="0"/>
                <w:sz w:val="23"/>
                <w:sz w:val="22"/>
                <w:szCs w:val="22"/>
                <w:shd w:fill="auto" w:val="clear"/>
                <w:vertAlign w:val="baseline"/>
                <w:lang w:val="ru-RU" w:eastAsia="ru-RU" w:bidi="ar-SA"/>
              </w:rPr>
              <w:t>Управление охотничьего хозяйства Курганской области</w:t>
            </w:r>
          </w:p>
        </w:tc>
      </w:tr>
      <w:tr>
        <w:trPr>
          <w:trHeight w:val="885" w:hRule="atLeast"/>
        </w:trPr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pacing w:lineRule="atLeast" w:line="283" w:before="28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Заявление о получении охотничьего билета;</w:t>
            </w:r>
          </w:p>
          <w:p>
            <w:pPr>
              <w:pStyle w:val="ConsPlusNormal1"/>
              <w:widowControl w:val="false"/>
              <w:spacing w:lineRule="atLeast" w:line="283" w:before="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- личная фотография в черно-белом или цветном исполнении размером 30 x 40 мм с четким изображением лица строго в анфас без головного убора;</w:t>
            </w:r>
          </w:p>
          <w:p>
            <w:pPr>
              <w:pStyle w:val="Normal"/>
              <w:widowControl w:val="false"/>
              <w:spacing w:before="22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З</w:t>
            </w:r>
            <w:r>
              <w:rPr>
                <w:rFonts w:cs="Arial" w:ascii="Arial" w:hAnsi="Arial"/>
                <w:sz w:val="22"/>
                <w:szCs w:val="22"/>
              </w:rPr>
              <w:t>аявление об аннулировании охотничьего билета.</w:t>
            </w:r>
          </w:p>
          <w:p>
            <w:pPr>
              <w:pStyle w:val="Normal"/>
              <w:widowControl w:val="false"/>
              <w:spacing w:before="22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3) Заявление о проставлении в выданном охотничьем билете отметки </w:t>
            </w:r>
            <w:r>
              <w:rPr>
                <w:rFonts w:cs="Liberation Sans" w:ascii="Arial" w:hAnsi="Arial"/>
                <w:b w:val="false"/>
                <w:color w:val="000000" w:themeColor="text1"/>
                <w:sz w:val="22"/>
                <w:szCs w:val="22"/>
                <w:highlight w:val="white"/>
              </w:rPr>
              <w:t>«Охота в целях обеспечения ведения традиционного образа жизни и осуществления традиционной хозяйственной деятельности осуществляется свободно (без каких-либо разрешений) в объеме добычи охотничьих ресурсов, необходимом для удовлетворения личного потребления»</w:t>
            </w:r>
          </w:p>
          <w:p>
            <w:pPr>
              <w:pStyle w:val="Normal"/>
              <w:widowControl w:val="false"/>
              <w:spacing w:before="22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>- охотничий билет</w:t>
            </w:r>
          </w:p>
        </w:tc>
      </w:tr>
      <w:tr>
        <w:trPr>
          <w:trHeight w:val="1295" w:hRule="atLeast"/>
        </w:trPr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pacing w:lineRule="atLeast" w:line="283" w:before="22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</w:rPr>
              <w:t>Заявитель вправе представить по собственной инициативе:</w:t>
            </w:r>
          </w:p>
          <w:p>
            <w:pPr>
              <w:pStyle w:val="ConsPlusNormal1"/>
              <w:widowControl w:val="false"/>
              <w:spacing w:lineRule="atLeast" w:line="283" w:before="220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sz w:val="22"/>
                <w:szCs w:val="22"/>
                <w:shd w:fill="FFFFFF" w:val="clear"/>
              </w:rPr>
              <w:t xml:space="preserve">- </w:t>
            </w:r>
            <w:r>
              <w:rPr>
                <w:rFonts w:eastAsia="Arial" w:cs="Liberation Sans" w:ascii="Arial" w:hAnsi="Arial"/>
                <w:b w:val="false"/>
                <w:bCs w:val="false"/>
                <w:color w:val="000000" w:themeColor="text1"/>
                <w:sz w:val="22"/>
                <w:szCs w:val="22"/>
                <w:shd w:fill="FFFFFF" w:val="clear"/>
              </w:rPr>
              <w:t>документы, подтверждающие проверку знаний, входящих в охотничий минимум, и определения результатов такой проверки;</w:t>
            </w:r>
          </w:p>
          <w:p>
            <w:pPr>
              <w:pStyle w:val="Standard"/>
              <w:widowControl w:val="false"/>
              <w:bidi w:val="0"/>
              <w:spacing w:lineRule="atLeast" w:line="283"/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sz w:val="22"/>
                <w:szCs w:val="22"/>
                <w:shd w:fill="FFFFFF" w:val="clear"/>
              </w:rPr>
              <w:t xml:space="preserve">- </w:t>
            </w:r>
            <w:r>
              <w:rPr>
                <w:rFonts w:eastAsia="Arial" w:cs="Liberation Sans" w:ascii="Arial" w:hAnsi="Arial"/>
                <w:b w:val="false"/>
                <w:bCs w:val="false"/>
                <w:color w:val="000000" w:themeColor="text1"/>
                <w:sz w:val="22"/>
                <w:szCs w:val="22"/>
                <w:shd w:fill="FFFFFF" w:val="clear"/>
              </w:rPr>
              <w:t>документы, содержащие и подтверждающие сведения о национальности заявителя;</w:t>
            </w:r>
          </w:p>
          <w:p>
            <w:pPr>
              <w:pStyle w:val="Standard"/>
              <w:widowControl w:val="false"/>
              <w:bidi w:val="0"/>
              <w:spacing w:lineRule="atLeast" w:line="283"/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" w:cs="Liberation Sans" w:ascii="Arial" w:hAnsi="Arial"/>
                <w:b w:val="false"/>
                <w:bCs w:val="false"/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Fonts w:eastAsia="Arial" w:cs="Liberation Sans" w:ascii="Arial" w:hAnsi="Arial"/>
                <w:b w:val="false"/>
                <w:bCs w:val="false"/>
                <w:color w:val="000000" w:themeColor="text1"/>
                <w:sz w:val="22"/>
                <w:szCs w:val="22"/>
                <w:shd w:fill="FFFFFF" w:val="clear"/>
              </w:rPr>
              <w:t>-документ (охотничий билет), подтверждающий право физического лица на осуществление охоты, на бумажном носителе, имеющим равную юридическую силу с охотничьим билетом, выданным в форме электронного документа, являющимся защищенной полиграфической продукцией уровня «В», подписанный руководителем Органа власти или уполномоченным им должностным лицом, сведения о котором внесены в государственный охотхозяйственный реестр.</w:t>
            </w:r>
          </w:p>
        </w:tc>
      </w:tr>
      <w:tr>
        <w:trPr/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left="0" w:right="-1" w:hanging="0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1. При обращении заявителя за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Выдачей охотничьего билета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 результатами предоставления Услуги являются: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</w:rPr>
              <w:t xml:space="preserve">1)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охотничий билет;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</w:rPr>
              <w:t xml:space="preserve">2)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уведомление о выдаче охотничьего билета;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</w:rPr>
              <w:t xml:space="preserve">3)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решение об отказе в выдаче охотничьего билета;</w:t>
            </w:r>
          </w:p>
          <w:p>
            <w:pPr>
              <w:pStyle w:val="ListParagraph521455b2f3e344afa2b375a9306cde2d"/>
              <w:widowControl w:val="false"/>
              <w:spacing w:before="163" w:after="0"/>
              <w:ind w:left="0" w:right="-1" w:firstLine="709"/>
              <w:contextualSpacing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</w:rPr>
              <w:t xml:space="preserve">4)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реестровая запись, вносимая в «Государственный охотхозяйственный реестр».</w:t>
            </w:r>
          </w:p>
          <w:p>
            <w:pPr>
              <w:pStyle w:val="ListParagraph521455b2f3e344afa2b375a9306cde2d"/>
              <w:widowControl w:val="false"/>
              <w:spacing w:before="163" w:after="0"/>
              <w:ind w:left="0" w:right="-1" w:hanging="0"/>
              <w:contextualSpacing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2. При обращении заявителя за Аннулированием охотничьего билета результатами предоставления Услуги являются: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1)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уведомление об аннулировании охотничьего билета;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2)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уведомление об отказе в аннулировании охотничьего билета;</w:t>
            </w:r>
          </w:p>
          <w:p>
            <w:pPr>
              <w:pStyle w:val="ListParagraph521455b2f3e344afa2b375a9306cde2d"/>
              <w:widowControl w:val="false"/>
              <w:spacing w:before="163" w:after="0"/>
              <w:ind w:left="0" w:right="-1" w:firstLine="709"/>
              <w:contextualSpacing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3) реестровая запись, вносимая в «Государственный охотхозяйственный реестр».</w:t>
            </w:r>
          </w:p>
          <w:p>
            <w:pPr>
              <w:pStyle w:val="ListParagraph521455b2f3e344afa2b375a9306cde2d"/>
              <w:widowControl w:val="false"/>
              <w:spacing w:before="163" w:after="0"/>
              <w:ind w:left="0" w:right="-1" w:hanging="0"/>
              <w:contextualSpacing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3. При обращении заявителя за Проставлением в выданном охотничьем билете отметки: «Охота в целях обеспечения ведения традиционного образа жизни и осуществления традиционной хозяйственной деятельности осуществляется свободно (без каких-либо разрешений) в объеме добычи охотничьих ресурсов, необходимом для удовлетворения личного потребления» результатами предоставления Услуги являются: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1)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охотничий билет с проставленной отметкой: «Охота в целях обеспечения ведения традиционного образа жизни и осуществления традиционной хозяйственной деятельности осуществляется свободно (без каких-либо разрешений) в объеме добычи охотничьих ресурсов, необходимом для удовлетворения личного потребления»;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2)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решение об отказе в проставлении в охотничьем билете отметки: «Охота в целях обеспечения ведения традиционного образа жизни и осуществления традиционной хозяйственной деятельности осуществляется свободно (без каких-либо разрешений) в объеме добычи охотничьих ресурсов, необходимом для удовлетворения личного потребления»;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3)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уведомление о проставление в охотничьем билете отметки: «Охота в целях обеспечения ведения традиционного образа жизни и осуществления традиционной хозяйственной деятельности осуществляется свободно (без каких-либо разрешений) в объеме добычи охотничьих ресурсов, необходимом для удовлетворения личного потребления»;</w:t>
            </w:r>
          </w:p>
          <w:p>
            <w:pPr>
              <w:pStyle w:val="ListParagraph521455b2f3e344afa2b375a9306cde2d"/>
              <w:widowControl w:val="false"/>
              <w:ind w:left="0" w:right="-1" w:firstLine="709"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4) реестровая запись, вносимая в «Государственный охотхозяйственный реестр».</w:t>
            </w:r>
          </w:p>
        </w:tc>
      </w:tr>
      <w:tr>
        <w:trPr/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521455b2f3e344afa2b375a9306cde2d"/>
              <w:widowControl w:val="false"/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 w:cs="Liberation Sans"/>
                <w:iCs/>
                <w:color w:val="000000"/>
                <w:sz w:val="22"/>
                <w:szCs w:val="22"/>
              </w:rPr>
            </w:pP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Максимальный срок предоставления </w:t>
            </w:r>
            <w:r>
              <w:rPr>
                <w:rFonts w:cs="Liberation Sans" w:ascii="Arial" w:hAnsi="Arial"/>
                <w:b w:val="false"/>
                <w:bCs w:val="false"/>
                <w:iCs/>
                <w:color w:val="000000" w:themeColor="text1"/>
                <w:sz w:val="22"/>
                <w:szCs w:val="22"/>
              </w:rPr>
              <w:t>государственной услуги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</w:rPr>
              <w:t xml:space="preserve"> составляет </w:t>
            </w:r>
            <w:r>
              <w:rPr>
                <w:rFonts w:cs="Liberation Sans" w:ascii="Arial" w:hAnsi="Arial"/>
                <w:iCs/>
                <w:color w:val="000000" w:themeColor="text1"/>
                <w:sz w:val="22"/>
                <w:szCs w:val="22"/>
                <w:lang w:val="en-US"/>
              </w:rPr>
              <w:t>5 рабочих дней</w:t>
            </w:r>
          </w:p>
        </w:tc>
      </w:tr>
      <w:tr>
        <w:trPr/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sz w:val="22"/>
                <w:szCs w:val="22"/>
                <w:lang w:eastAsia="ru-RU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Предоставление государственной услуги для заявителя является бесплатным</w:t>
            </w:r>
          </w:p>
        </w:tc>
      </w:tr>
      <w:tr>
        <w:trPr>
          <w:trHeight w:val="1818" w:hRule="atLeast"/>
        </w:trPr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0"/>
                <w:szCs w:val="20"/>
                <w:shd w:fill="FFBF00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shd w:fill="FFBF00" w:val="clear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2"/>
                <w:szCs w:val="22"/>
                <w:shd w:fill="FFBF00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BF00" w:val="clear"/>
              </w:rPr>
              <w:t>До момента подачи заявления заявитель должен ознакомиться с требованиями охотничьего минимума, о чем указать в заявлении.</w:t>
            </w:r>
          </w:p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2"/>
                <w:szCs w:val="22"/>
                <w:shd w:fill="FFBF00" w:val="clear"/>
              </w:rPr>
            </w:pPr>
            <w:r>
              <w:rPr>
                <w:rFonts w:cs="Arial" w:ascii="Arial" w:hAnsi="Arial"/>
                <w:sz w:val="22"/>
                <w:szCs w:val="22"/>
                <w:shd w:fill="FFBF00" w:val="clear"/>
              </w:rPr>
              <w:t>Охотничий билет выдается заявителю по месту его жительства, а в случае его отсутствия по месту пребывания заявителя.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2"/>
                <w:szCs w:val="22"/>
                <w:shd w:fill="FFBF00" w:val="clear"/>
                <w:lang w:eastAsia="ru-RU"/>
              </w:rPr>
            </w:pPr>
            <w:r>
              <w:rPr>
                <w:rFonts w:eastAsia="Times New Roman" w:cs="Arial" w:ascii="Arial" w:hAnsi="Arial"/>
                <w:sz w:val="22"/>
                <w:szCs w:val="22"/>
                <w:shd w:fill="FFBF00" w:val="clear"/>
                <w:lang w:eastAsia="ru-RU"/>
              </w:rPr>
            </w:r>
          </w:p>
        </w:tc>
      </w:tr>
      <w:tr>
        <w:trPr>
          <w:trHeight w:val="626" w:hRule="atLeast"/>
        </w:trPr>
        <w:tc>
          <w:tcPr>
            <w:tcW w:w="26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8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Приказ Управления охотничьего хозяйства Курганской области от 28 мая 2026 № 48 «Об утверждении Административного регламента предоставления Управлением охотничьего хозяйства Курганской области государственной услуги по выдаче и аннулированию охотничьего билета единого федерального образца».</w:t>
            </w:r>
          </w:p>
          <w:p>
            <w:pPr>
              <w:pStyle w:val="ConsPlusTitle"/>
              <w:widowControl w:val="false"/>
              <w:jc w:val="left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  <w:shd w:fill="FFFF00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FFFF00" w:val="clear"/>
              </w:rPr>
              <w:t>В случае обращения заявителя за получением охотбилета в случае утраты или изменения ФИО небходимо принимать заявление на аннулирование  ранее выданного охотбилета.</w:t>
            </w:r>
          </w:p>
          <w:p>
            <w:pPr>
              <w:pStyle w:val="ConsPlusTitle"/>
              <w:widowControl w:val="false"/>
              <w:jc w:val="left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Заявитель достигший возраста 16 лет обращается с заявлением о выдаче охотбилета ЛИЧНО. Результат получает тоже ЛИЧНО.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Microsoft Sans Serif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575d31"/>
    <w:rPr>
      <w:rFonts w:ascii="Calibri" w:hAnsi="Calibri" w:eastAsia="Times New Roman" w:cs="Calibri"/>
      <w:szCs w:val="20"/>
      <w:lang w:eastAsia="ru-RU"/>
    </w:rPr>
  </w:style>
  <w:style w:type="character" w:styleId="Ngscope" w:customStyle="1">
    <w:name w:val="ng-scope"/>
    <w:basedOn w:val="DefaultParagraphFont"/>
    <w:qFormat/>
    <w:rsid w:val="000f6416"/>
    <w:rPr/>
  </w:style>
  <w:style w:type="character" w:styleId="Strong">
    <w:name w:val="Strong"/>
    <w:basedOn w:val="DefaultParagraphFont"/>
    <w:uiPriority w:val="22"/>
    <w:qFormat/>
    <w:rsid w:val="00d7434a"/>
    <w:rPr>
      <w:b/>
      <w:bCs/>
    </w:rPr>
  </w:style>
  <w:style w:type="character" w:styleId="DefaultFontStyle">
    <w:name w:val="DefaultFontStyle"/>
    <w:qFormat/>
    <w:rPr>
      <w:rFonts w:ascii="Courier New" w:hAnsi="Courier New" w:eastAsia="Courier New" w:cs="Courier New"/>
      <w:color w:val="000000"/>
      <w:spacing w:val="0"/>
      <w:w w:val="100"/>
      <w:position w:val="0"/>
      <w:sz w:val="24"/>
      <w:sz w:val="24"/>
      <w:szCs w:val="24"/>
      <w:vertAlign w:val="baseline"/>
      <w:lang w:val="ru-RU" w:eastAsia="ru-RU" w:bidi="ru-RU"/>
    </w:rPr>
  </w:style>
  <w:style w:type="character" w:styleId="CharStyle12">
    <w:name w:val="CharStyle12"/>
    <w:basedOn w:val="DefaultFontStyle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strike w:val="false"/>
      <w:dstrike w:val="false"/>
      <w:sz w:val="23"/>
      <w:szCs w:val="23"/>
      <w:u w:val="none"/>
    </w:rPr>
  </w:style>
  <w:style w:type="character" w:styleId="Style16">
    <w:name w:val="Основной шрифт абзаца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0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Cell" w:customStyle="1">
    <w:name w:val="ConsPlusCell"/>
    <w:qFormat/>
    <w:rsid w:val="006510d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0"/>
      <w:sz w:val="20"/>
      <w:szCs w:val="20"/>
      <w:lang w:val="ru-RU" w:eastAsia="ru-RU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Lucida Sans Unicode" w:cs="Calibri"/>
      <w:color w:val="000000"/>
      <w:kern w:val="2"/>
      <w:sz w:val="24"/>
      <w:szCs w:val="24"/>
      <w:lang w:val="ru-RU" w:eastAsia="zh-CN" w:bidi="ar-SA"/>
    </w:rPr>
  </w:style>
  <w:style w:type="paragraph" w:styleId="Normalc264b894496d4b1197b64d7bdac3b663">
    <w:name w:val="Normal_c264b894-496d-4b11-97b6-4d7bdac3b663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521455b2f3e344afa2b375a9306cde2d">
    <w:name w:val="List Paragraph_521455b2-f3e3-44af-a2b3-75a9306cde2d"/>
    <w:basedOn w:val="Normalc264b894496d4b1197b64d7bdac3b663"/>
    <w:qFormat/>
    <w:pPr>
      <w:tabs>
        <w:tab w:val="clear" w:pos="708"/>
        <w:tab w:val="left" w:pos="284" w:leader="none"/>
        <w:tab w:val="left" w:pos="1134" w:leader="none"/>
      </w:tabs>
      <w:spacing w:before="0" w:after="0"/>
      <w:ind w:left="0" w:right="-1" w:firstLine="851"/>
      <w:contextualSpacing/>
      <w:jc w:val="both"/>
    </w:pPr>
    <w:rPr>
      <w:rFonts w:ascii="Times New Roman" w:hAnsi="Times New Roman" w:cs="Times New Roman"/>
      <w:b w:val="false"/>
      <w:bCs w:val="false"/>
      <w:i w:val="false"/>
      <w:iCs w:val="false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LibreOffice/7.0.4.2$Windows_X86_64 LibreOffice_project/dcf040e67528d9187c66b2379df5ea4407429775</Application>
  <AppVersion>15.0000</AppVersion>
  <Pages>3</Pages>
  <Words>685</Words>
  <Characters>5069</Characters>
  <CharactersWithSpaces>5708</CharactersWithSpaces>
  <Paragraphs>49</Paragraphs>
  <Company>КонсультантПлюс Версия 4022.00.09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2022-12-21T09:49:00Z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2026-06-02T16:41:09Z</dcterms:modified>
  <cp:revision>13</cp:revision>
  <dc:subject/>
  <dc:title>Приказ Департамента природных ресурсов и охраны окружающей среды Курганской области от 20.12.2019 N 651(ред. от 14.11.2022)"Об утверждении Административного регламента предоставления Департаментом гражданской защиты, охраны окружающей среды и природных ресурсов Курганской области государственной услуги по выдаче и аннулированию охотничьих билетов"(вместе с "Заявлением о получении охотничьего билета единого федерального образца", "Заявлением о замене охотничьего билета единого федерального образца в связи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