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95" w:type="dxa"/>
        <w:jc w:val="left"/>
        <w:tblInd w:w="-3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70"/>
        <w:gridCol w:w="13425"/>
      </w:tblGrid>
      <w:tr>
        <w:trPr>
          <w:trHeight w:val="571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 по заявлениям граждан или юридических лиц</w:t>
            </w:r>
          </w:p>
        </w:tc>
      </w:tr>
      <w:tr>
        <w:trPr>
          <w:trHeight w:val="571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Постановление Администрации города Кургана от 06.06.2016 № 3680 "Об утверждении Административного регламента предоставления Департаментом архитектуры, имущественных и земельных отношений Администрации города Кургана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 по заявлениям граждан или юридических лиц»  (в ред. Постановлений Администрации города Кургана от 05.08.2016 N 5435, от 22.03.2017 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  <w:lang w:val="en-US"/>
              </w:rPr>
              <w:t>N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 1996, 08.11.2021 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  <w:lang w:val="en-US"/>
              </w:rPr>
              <w:t>N</w:t>
            </w:r>
            <w:r>
              <w:rPr>
                <w:rFonts w:cs="Arial" w:ascii="Arial" w:hAnsi="Arial"/>
                <w:b w:val="false"/>
                <w:color w:val="000000"/>
                <w:sz w:val="21"/>
                <w:szCs w:val="21"/>
              </w:rPr>
              <w:t xml:space="preserve"> 7772)</w:t>
            </w:r>
          </w:p>
        </w:tc>
      </w:tr>
      <w:tr>
        <w:trPr>
          <w:trHeight w:val="571" w:hRule="atLeast"/>
        </w:trPr>
        <w:tc>
          <w:tcPr>
            <w:tcW w:w="267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4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67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4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Департамент архитектуры, строительства и земельных отношений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Администрации города Кургана</w:t>
            </w:r>
          </w:p>
        </w:tc>
      </w:tr>
      <w:tr>
        <w:trPr>
          <w:trHeight w:val="826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1"/>
                <w:szCs w:val="21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тдел архитектуры и градостроительства управления архитектуры и градостроительства Департамента архитектуры, строительства и земельных отношений Администрации города Кургана, по адресу: г. Курган, ул. Пушкина, д. 83/1, 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>каб 15,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42-86-81 доб. 611, 622 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br/>
              <w:t xml:space="preserve">Часы приема: 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>Пн, Вт, Чт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с 9-00 ч. до 12-00 ч.; 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Ср </w:t>
            </w: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с 9-00 ч. до 17-00 ч.; </w:t>
            </w:r>
          </w:p>
        </w:tc>
      </w:tr>
      <w:tr>
        <w:trPr>
          <w:trHeight w:val="546" w:hRule="atLeast"/>
        </w:trPr>
        <w:tc>
          <w:tcPr>
            <w:tcW w:w="267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4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hd w:val="clear" w:color="auto" w:fill="FFFFFF"/>
              <w:spacing w:lineRule="auto" w:line="240" w:before="0" w:after="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раждане и юридические лица, заинтересованные в предоставлении земельных участков.</w:t>
            </w:r>
          </w:p>
        </w:tc>
      </w:tr>
      <w:tr>
        <w:trPr>
          <w:trHeight w:val="2282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- заявление о проведении аукциона (с указанием кадастрового номера земельного участка и цели использования земельного участка).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При подаче заявления в электронной форме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документа, за исключением случаев,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заявлению, поданному в электронной форме, также прилагается доверенность в виде электронного образа такого документа.</w:t>
            </w:r>
          </w:p>
        </w:tc>
      </w:tr>
      <w:tr>
        <w:trPr>
          <w:trHeight w:val="912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1)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2)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</w:tr>
      <w:tr>
        <w:trPr/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shd w:fill="FFFFFF" w:val="clear"/>
              </w:rPr>
              <w:t>Результат выдается в Департаменте!!!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1) Р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ешения о проведении аукциона по продаже земельного участка или аукциона на право заключения договора аренды земельного участка;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2) О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тказ в проведении аукциона.</w:t>
            </w:r>
          </w:p>
        </w:tc>
      </w:tr>
      <w:tr>
        <w:trPr/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2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При обращении заявителя через МФЦ, срок регистрации заявления в Департаменте исчисляется со дня передачи заявления от МФЦ.</w:t>
            </w:r>
          </w:p>
        </w:tc>
      </w:tr>
      <w:tr>
        <w:trPr/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67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4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Услуга предоставляется бесплатно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LibreOffice/7.0.4.2$Windows_X86_64 LibreOffice_project/dcf040e67528d9187c66b2379df5ea4407429775</Application>
  <AppVersion>15.0000</AppVersion>
  <Pages>2</Pages>
  <Words>359</Words>
  <Characters>2610</Characters>
  <CharactersWithSpaces>2942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2019-04-08T06:04:00Z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2024-09-04T10:32:39Z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