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30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88"/>
        <w:gridCol w:w="13162"/>
      </w:tblGrid>
      <w:tr>
        <w:trPr>
          <w:trHeight w:val="571" w:hRule="atLeast"/>
        </w:trPr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>
        <w:trPr>
          <w:trHeight w:val="571" w:hRule="atLeast"/>
        </w:trPr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 xml:space="preserve">Постановление Администрации города Кургана от 06.06.2016 № 3683 "Об утверждении Административного регламента предоставления Департаментом архитектуры, имущественных и земельных отношений Администрации города Кургана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</w:t>
            </w:r>
            <w:r>
              <w:rPr>
                <w:rFonts w:cs="PT Astra Serif" w:ascii="Arial" w:hAnsi="Arial"/>
                <w:b w:val="false"/>
                <w:color w:val="000000"/>
                <w:sz w:val="20"/>
                <w:szCs w:val="20"/>
              </w:rPr>
              <w:t xml:space="preserve">(в ред. Постановлений Администрации города Кургана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от 05.08.2016 г. № 5431, от 17.03.2017 г. № 1914, от 14.07.2017 г. № 5335,  </w:t>
            </w:r>
            <w:r>
              <w:rPr>
                <w:rFonts w:cs="PT Astra Serif" w:ascii="Arial" w:hAnsi="Arial"/>
                <w:b w:val="false"/>
                <w:color w:val="000000"/>
                <w:sz w:val="20"/>
                <w:szCs w:val="20"/>
              </w:rPr>
              <w:t>от 30.04.2021 г. № 3079)</w:t>
            </w:r>
          </w:p>
        </w:tc>
      </w:tr>
      <w:tr>
        <w:trPr>
          <w:trHeight w:val="571" w:hRule="atLeast"/>
        </w:trPr>
        <w:tc>
          <w:tcPr>
            <w:tcW w:w="2888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</w:t>
            </w:r>
            <w:r>
              <w:rPr>
                <w:rFonts w:ascii="Arial" w:hAnsi="Arial"/>
                <w:sz w:val="20"/>
                <w:szCs w:val="20"/>
              </w:rPr>
              <w:t>ей</w:t>
            </w:r>
            <w:r>
              <w:rPr>
                <w:rFonts w:ascii="Arial" w:hAnsi="Arial"/>
                <w:sz w:val="20"/>
                <w:szCs w:val="20"/>
              </w:rPr>
              <w:t xml:space="preserve"> города Кургана</w:t>
            </w:r>
          </w:p>
        </w:tc>
      </w:tr>
      <w:tr>
        <w:trPr>
          <w:trHeight w:val="571" w:hRule="atLeast"/>
        </w:trPr>
        <w:tc>
          <w:tcPr>
            <w:tcW w:w="2888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Департамент архитектуры, строительства и земельных отношений </w:t>
            </w:r>
            <w:r>
              <w:rPr>
                <w:rFonts w:ascii="Arial" w:hAnsi="Arial"/>
                <w:b w:val="false"/>
                <w:sz w:val="20"/>
                <w:szCs w:val="20"/>
              </w:rPr>
              <w:t>Администрации города Кургана</w:t>
            </w:r>
          </w:p>
        </w:tc>
      </w:tr>
      <w:tr>
        <w:trPr>
          <w:trHeight w:val="706" w:hRule="atLeast"/>
        </w:trPr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1"/>
                <w:szCs w:val="21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Ngscope"/>
                <w:rFonts w:ascii="Arial" w:hAnsi="Arial"/>
                <w:sz w:val="20"/>
                <w:szCs w:val="20"/>
              </w:rPr>
              <w:t>О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>тдел архитектуры и градостроительства управления архитектуры и градостроительства Департамента архитектуры, строительства и земельных отношений Администрации города Кургана, по адресу: г. Курган, ул. Пушкина, д. 83/1, кабинет N 15</w:t>
              <w:br/>
            </w:r>
            <w:r>
              <w:rPr>
                <w:rStyle w:val="Ngscope"/>
                <w:rFonts w:ascii="Arial" w:hAnsi="Arial"/>
                <w:sz w:val="20"/>
                <w:szCs w:val="20"/>
              </w:rPr>
              <w:t>О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 xml:space="preserve">тдел земельных и лесных отношений управления земельными ресурсами и строительства Департамента архитектуры, строительства и земельных отношений Администрации города Кургана, по адресу: г. Курган, ул. М.Горького, д. 109. 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>кб. 8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br/>
              <w:t xml:space="preserve">Часы приема: 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 xml:space="preserve">Пн, Вт, Пт с 9-00 ч. до 12-00 ч, Ср 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 xml:space="preserve">с 9-00 ч. до 17-00 ч.; </w:t>
            </w:r>
          </w:p>
        </w:tc>
      </w:tr>
      <w:tr>
        <w:trPr/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0"/>
                <w:szCs w:val="20"/>
              </w:rPr>
              <w:t>Г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>раждане и юридические лица, являющиеся собственниками земельных участко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 xml:space="preserve">в: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0"/>
                <w:szCs w:val="20"/>
              </w:rPr>
              <w:t>4) земельные участки образуются для размещения объектов капитального строительства, предусмотренных ст. 49 З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>К</w:t>
            </w:r>
            <w:r>
              <w:rPr>
                <w:rStyle w:val="Ngscope"/>
                <w:rFonts w:ascii="Arial" w:hAnsi="Arial"/>
                <w:sz w:val="20"/>
                <w:szCs w:val="20"/>
              </w:rPr>
              <w:t xml:space="preserve"> РФ, в том числе в целях изъятия земельных участков для государственных или муниципальных нужд.</w:t>
            </w:r>
          </w:p>
        </w:tc>
      </w:tr>
      <w:tr>
        <w:trPr/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 о перераспределении земель и (или) земельных участков, в котором указываются: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кадастровый номер земельного участка или кадастровые номера земельных участков, перераспределение которых планируется осуществить;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почтовый адрес и (или) адрес электронной почты для связи с заявителем.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0" w:name="P154"/>
            <w:bookmarkEnd w:id="0"/>
            <w:r>
              <w:rPr>
                <w:rFonts w:ascii="Arial" w:hAnsi="Arial"/>
                <w:sz w:val="20"/>
                <w:szCs w:val="20"/>
              </w:rPr>
              <w:t>2)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схема расположения земельного участка или земельных участков на кадастровом плане территории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в случае если отсутствует проект межевания территории, в границах которой осуществляется перераспределение земельных участков</w:t>
            </w:r>
            <w:r>
              <w:rPr>
                <w:rFonts w:ascii="Arial" w:hAnsi="Arial"/>
                <w:sz w:val="20"/>
                <w:szCs w:val="20"/>
              </w:rPr>
              <w:t>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Подготовка схемы расположения земельного участка осуществляется в форме электронного документа в соответствии с требованиями, установленными Приказом Минэкономразвития России от 27.11.2014 г.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4) документ, подтверждающий полномочия представителя заявителя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в случае если с заявлением о перераспределении земельного участка обращается представитель заявителя</w:t>
            </w:r>
            <w:r>
              <w:rPr>
                <w:rFonts w:ascii="Arial" w:hAnsi="Arial"/>
                <w:sz w:val="20"/>
                <w:szCs w:val="20"/>
              </w:rPr>
              <w:t>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1" w:name="P160"/>
            <w:bookmarkEnd w:id="1"/>
            <w:r>
              <w:rPr>
                <w:rFonts w:ascii="Arial" w:hAnsi="Arial"/>
                <w:sz w:val="20"/>
                <w:szCs w:val="20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6) согласие в письменной форме землепользователей, землевладельцев, арендаторов, залогодержателей исходных земельных участков - в случае если земельные участки, которые предлагается перераспределить, обременены правами указанных лиц. Такое согласие не требуется в следующих случаях: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перераспределение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перераспределение земельных участков на основании решения суда, предусматривающего перераспределение земельных участков в обязательном порядке;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перераспределение земельных участков в связи с их изъятием для государственных или муниципальных нужд;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7) кадастровый паспорт земельного участка или земельных участков, образуемых в результате перераспределения - после постановки заявителем земельного участка на государственный кадастровый учет.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0"/>
                <w:szCs w:val="20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в соответствии с частью 3 статьи 7 Федерального закона от 27.07.2010 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>
          <w:trHeight w:val="885" w:hRule="atLeast"/>
        </w:trPr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утвержденный проект межевания территории - если перераспределение земельных участков планируется осуществить в соответствии с данным проектом;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копии правоустанавливающих или правоудостоверяющих документов на земельный участок, принадлежащий заявителю, в случае если право собственности зарегистрировано в Едином государственном реестре недвижимости;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выписка из Единого государственного реестра юридических лиц (для юридических лиц);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Ngscope"/>
                <w:rFonts w:ascii="Arial" w:hAnsi="Arial"/>
                <w:sz w:val="20"/>
                <w:szCs w:val="20"/>
              </w:rPr>
              <w:t>4) выписка из Единого государственного реестра недвижимости об объекте недвижимости или выписки из Единого государственного реестра недвижимости об объектах недвижимости, перераспределение которых планируется осуществить.</w:t>
            </w:r>
          </w:p>
        </w:tc>
      </w:tr>
      <w:tr>
        <w:trPr>
          <w:trHeight w:val="828" w:hRule="atLeast"/>
        </w:trPr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 выдается в Департаменте!!!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направление подписанных экземпляров проекта соглашения о перераспределении земельных участков заявителю для подписания;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отказ в заключении соглашения о перераспределении земельных участков.</w:t>
            </w:r>
          </w:p>
        </w:tc>
      </w:tr>
      <w:tr>
        <w:trPr/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Н</w:t>
            </w:r>
            <w:r>
              <w:rPr>
                <w:rFonts w:cs="PT Astra Serif" w:ascii="Arial" w:hAnsi="Arial"/>
                <w:sz w:val="20"/>
                <w:szCs w:val="20"/>
              </w:rPr>
              <w:t>е более чем 60 дней.</w:t>
            </w:r>
          </w:p>
          <w:p>
            <w:pPr>
              <w:pStyle w:val="ConsPlusNormal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88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Ngscope" w:customStyle="1">
    <w:name w:val="ng-scope"/>
    <w:basedOn w:val="DefaultParagraphFont"/>
    <w:qFormat/>
    <w:rsid w:val="00801a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LibreOffice/7.0.4.2$Windows_X86_64 LibreOffice_project/dcf040e67528d9187c66b2379df5ea4407429775</Application>
  <AppVersion>15.0000</AppVersion>
  <Pages>3</Pages>
  <Words>1003</Words>
  <Characters>7577</Characters>
  <CharactersWithSpaces>8533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2024-09-04T11:11:30Z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