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8"/>
        <w:gridCol w:w="12904"/>
      </w:tblGrid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Предоставление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Федеральным законом от 18 июля 2011 г. № 223-ФЗ «О закупках товаров, работ, услуг отдельными видами юридических лиц».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Акционерное общество «Федеральная корпорация по развитию малого и среднего предпринимательства»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spacing w:before="220" w:after="200"/>
              <w:jc w:val="both"/>
              <w:rPr>
                <w:rFonts w:ascii="Calibri" w:hAnsi="Calibri"/>
                <w:szCs w:val="22"/>
              </w:rPr>
            </w:pPr>
            <w:r>
              <w:rPr>
                <w:szCs w:val="22"/>
              </w:rPr>
              <w:t xml:space="preserve">юридические лица, индивидуальные предприниматели - субъекты малого или среднего предпринимательства, сведения о котором включены в единый реестр субъектов малого и среднего предпринимательства, ведение которого осуществляется ФНС России в соответствии с Федеральным законом № 209-ФЗ. 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Акционерное общество «Федеральная корпорация по развитию малого и среднего предпринимательства»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spacing w:before="220" w:after="200"/>
              <w:jc w:val="both"/>
              <w:rPr>
                <w:rFonts w:ascii="Calibri" w:hAnsi="Calibri"/>
                <w:szCs w:val="22"/>
              </w:rPr>
            </w:pPr>
            <w:r>
              <w:rPr>
                <w:szCs w:val="22"/>
              </w:rPr>
              <w:t xml:space="preserve">юридические лица, индивидуальные предприниматели - субъекты малого или среднего предпринимательства, сведения о котором включены в единый реестр субъектов малого и среднего предпринимательства, ведение которого осуществляется ФНС России в соответствии с Федеральным законом № 209-ФЗ. 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jc w:val="both"/>
              <w:rPr>
                <w:rFonts w:ascii="Calibri" w:hAnsi="Calibri"/>
                <w:szCs w:val="22"/>
              </w:rPr>
            </w:pPr>
            <w:r>
              <w:rPr>
                <w:szCs w:val="22"/>
              </w:rPr>
              <w:t>Исчерпывающий перечень документов, необходимых для предоставления услуги, которые заявитель должен представить самостоятельно:</w:t>
            </w:r>
          </w:p>
          <w:p>
            <w:pPr>
              <w:pStyle w:val="ConsPlusNormal"/>
              <w:jc w:val="both"/>
              <w:rPr/>
            </w:pPr>
            <w:bookmarkStart w:id="0" w:name="P113"/>
            <w:bookmarkEnd w:id="0"/>
            <w:r>
              <w:rPr>
                <w:szCs w:val="22"/>
              </w:rPr>
              <w:t xml:space="preserve">1) </w:t>
            </w:r>
            <w:hyperlink w:anchor="P282">
              <w:r>
                <w:rPr>
                  <w:rStyle w:val="Style15"/>
                  <w:color w:val="0000FF"/>
                  <w:szCs w:val="22"/>
                </w:rPr>
                <w:t>заявление</w:t>
              </w:r>
            </w:hyperlink>
            <w:r>
              <w:rPr>
                <w:szCs w:val="22"/>
              </w:rPr>
              <w:t>;</w:t>
            </w:r>
          </w:p>
          <w:p>
            <w:pPr>
              <w:pStyle w:val="ConsPlusNormal"/>
              <w:jc w:val="both"/>
              <w:rPr>
                <w:rFonts w:ascii="Calibri" w:hAnsi="Calibri"/>
                <w:szCs w:val="22"/>
              </w:rPr>
            </w:pPr>
            <w:bookmarkStart w:id="1" w:name="P114"/>
            <w:bookmarkEnd w:id="1"/>
            <w:r>
              <w:rPr>
                <w:szCs w:val="22"/>
              </w:rPr>
              <w:t xml:space="preserve">2) документ, удостоверяющий личность заявителя или его представителя (подлежит возврату заявителю (представителю заявителя) после удостоверения его личности при личном приеме), </w:t>
            </w:r>
          </w:p>
          <w:p>
            <w:pPr>
              <w:pStyle w:val="ConsPlusNormal"/>
              <w:jc w:val="both"/>
              <w:rPr>
                <w:rFonts w:ascii="Calibri" w:hAnsi="Calibri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Для индивидуальных предпринимателей:</w:t>
            </w:r>
          </w:p>
          <w:p>
            <w:pPr>
              <w:pStyle w:val="ConsPlusNormal"/>
              <w:jc w:val="both"/>
              <w:rPr>
                <w:rFonts w:ascii="Calibri" w:hAnsi="Calibri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– </w:t>
            </w:r>
            <w:r>
              <w:rPr>
                <w:rFonts w:cs="Arial"/>
                <w:color w:val="000000"/>
                <w:szCs w:val="22"/>
              </w:rPr>
              <w:t xml:space="preserve">в случае подачи заявления через представителя – доверенность индивидуального предпринимателя, составленная в письменной форме, </w:t>
            </w:r>
          </w:p>
          <w:p>
            <w:pPr>
              <w:pStyle w:val="ConsPlusNormal"/>
              <w:jc w:val="both"/>
              <w:rPr>
                <w:rFonts w:ascii="Calibri" w:hAnsi="Calibri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Для юридических лиц:</w:t>
            </w:r>
          </w:p>
          <w:p>
            <w:pPr>
              <w:pStyle w:val="ConsPlusNormal"/>
              <w:jc w:val="both"/>
              <w:rPr/>
            </w:pPr>
            <w:r>
              <w:rPr>
                <w:rFonts w:cs="Arial"/>
                <w:color w:val="000000"/>
                <w:szCs w:val="22"/>
              </w:rPr>
              <w:t xml:space="preserve">– </w:t>
            </w:r>
            <w:r>
              <w:rPr>
                <w:rFonts w:cs="Arial"/>
                <w:color w:val="000000"/>
                <w:szCs w:val="22"/>
              </w:rPr>
              <w:t xml:space="preserve">в случае подачи заявления лицом, имеющим право без доверенности действовать от имени юридического лица, – документ, подтверждающий право лица без доверенности действовать от имени юридического лица (копия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решения о назначении этого лица или о его избрании, заверенная юридическим лицом);</w:t>
            </w:r>
          </w:p>
          <w:p>
            <w:pPr>
              <w:pStyle w:val="ConsPlusNormal"/>
              <w:jc w:val="both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–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в случае подачи заявления представителем Заявителя – доверенность юридического лица, составленная в письменной форме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spacing w:before="220" w:after="200"/>
              <w:jc w:val="both"/>
              <w:rPr/>
            </w:pPr>
            <w:r>
              <w:rPr/>
              <w:t>нет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bidi w:val="0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1.Результатом предоставления Услуги является (в зависимости от параметров, заданных в заявлении о предоставлении Услуги):</w:t>
            </w:r>
          </w:p>
          <w:p>
            <w:pPr>
              <w:pStyle w:val="ConsPlusNormal"/>
              <w:bidi w:val="0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Документ, содержащий информацию о (об):</w:t>
            </w:r>
          </w:p>
          <w:p>
            <w:pPr>
              <w:pStyle w:val="ConsPlusNormal"/>
              <w:bidi w:val="0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процедурах закупки, установленных положением о закупках, утвержденным Заказчиком, с указанием особенностей участия субъектов МСП в закупках Заказчика (предоставляются выписка из положения о закупках, содержащая особенности участия субъектов МСП в закупках Заказчика; реквизиты документа, которым утверждено положение о закупках; ссылка в информационно-телекоммуникационной сети «Интернет», по которой размещено положение о закупках);</w:t>
            </w:r>
          </w:p>
          <w:p>
            <w:pPr>
              <w:pStyle w:val="ConsPlusNormal"/>
              <w:bidi w:val="0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утвержденной Заказчиком программе партнерства между Заказчиком и субъектами МСП (предоставляются выписка из программы партнерства между Заказчиком и субъектами МСП, содержащая особенности участия субъектов МСП – участников программы партнерства в закупках; реквизиты документа, которым утверждена программа партнерства между Заказчиком и субъектами МСП; ссылка в информационно-телекоммуникационной сети «Интернет», по которой размещена программа партнерства между Заказчиком и субъектами МСП);</w:t>
            </w:r>
          </w:p>
          <w:p>
            <w:pPr>
              <w:pStyle w:val="ConsPlusNormal"/>
              <w:bidi w:val="0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реестре субъектов МСП, присоединившихся к программе партнерства между Заказчиком и субъектами МСП, а также об установленных Заказчиком требованиях к субъектам МСП, правилах и условиях присоединения к программе партнерства между Заказчиком и субъектами МСП (предоставляются ссылка в информационно-телекоммуникационной сети «Интернет», по которой размещен реестр субъектов МСП, присоединившихся к программе партнерства между Заказчиком и субъектами МСП; выписка из программы партнерства между Заказчиком и субъектами МСП, содержащая установленные Заказчиком требования к субъектам МСП, правила и условия присоединения к программе партнерства между Заказчиком и субъектами МСП; реквизиты документа, которым утверждена программа партнерства между Заказчиком и субъектами МСП);</w:t>
            </w:r>
          </w:p>
          <w:p>
            <w:pPr>
              <w:pStyle w:val="Default"/>
              <w:bidi w:val="0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созданном Заказчиком в соответствии с распоряжением Правительства Российской Федерации от 29 мая 2013 г. № 867-р совещательном органе, отвечающем за общественный аудит эффективности проводимых закупок, в </w:t>
            </w:r>
            <w:r>
              <w:rPr>
                <w:rFonts w:ascii="Calibri" w:hAnsi="Calibri"/>
                <w:strike w:val="false"/>
                <w:dstrike w:val="false"/>
                <w:sz w:val="22"/>
                <w:szCs w:val="22"/>
                <w:u w:val="none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том числе о составе и порядке деятельности такого совещательного органа (предоставляются реквизиты документа, которым создан совещательный орган, отвечающий за общественный аудит эффективности проводимых закупок, утверждены положение и состав такого совещательного органа; ссылка в информационно-телекоммуникационной сети «Интернет», по которой размещены положение и состав совещательного органа, отвечающего за общественный аудит эффективности проводимых закупок); </w:t>
            </w:r>
          </w:p>
          <w:p>
            <w:pPr>
              <w:pStyle w:val="Default"/>
              <w:bidi w:val="0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представителях общественных объединений субъектов МСП, входящих в состав совещательного органа, отвечающего за общественный аудит эффективности проводимых закупок (предоставляются состав представителей общественных объединений субъектов МСП, входящих в состав совещательного органа, отвечающего за общественный аудит эффективности проводимых закупок; реквизиты документа, которым утвержден состав совещательного органа, отвечающего за общественный аудит эффективности проводимых закупок; ссылка в информационно-телекоммуникационной сети «Интернет», по которой размещены положение и состав совещательного органа, отвечающего за общественный аудит эффективности проводимых закупок); </w:t>
            </w:r>
          </w:p>
          <w:p>
            <w:pPr>
              <w:pStyle w:val="Default"/>
              <w:bidi w:val="0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trike w:val="false"/>
                <w:dstrike w:val="false"/>
                <w:sz w:val="22"/>
                <w:szCs w:val="22"/>
                <w:u w:val="none"/>
              </w:rPr>
              <w:t xml:space="preserve">– </w:t>
            </w:r>
            <w:r>
              <w:rPr>
                <w:rFonts w:ascii="Calibri" w:hAnsi="Calibri"/>
                <w:strike w:val="false"/>
                <w:dstrike w:val="false"/>
                <w:sz w:val="22"/>
                <w:szCs w:val="22"/>
                <w:u w:val="none"/>
              </w:rPr>
              <w:t xml:space="preserve">проведении Заказчиком мероприятий по обучению субъектов МСП участию в закупках (предоставляются план-график обучения субъектов МСП (при наличии); сведения о форме, теме, программе или курсе, сроках, дате, стоимости обучения, месте проведения мероприятия и т. д., о возможности, способах и порядке регистрации участников обучения; ссылка в информационно-телекоммуникационной сети «Интернет», по которой размещена информация о проведении обучения субъектов МСП участию в закупках и регистрации участников обучения); 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trike w:val="false"/>
                <w:dstrike w:val="false"/>
                <w:sz w:val="22"/>
                <w:szCs w:val="22"/>
                <w:u w:val="none"/>
              </w:rPr>
              <w:t xml:space="preserve">– </w:t>
            </w:r>
            <w:r>
              <w:rPr>
                <w:rFonts w:ascii="Calibri" w:hAnsi="Calibri"/>
                <w:strike w:val="false"/>
                <w:dstrike w:val="false"/>
                <w:sz w:val="22"/>
                <w:szCs w:val="22"/>
                <w:u w:val="none"/>
              </w:rPr>
              <w:t>наличии и составе утвержденного Заказчиком перечня товаров, работ, услуг, закупка которых осуществляется у субъектов МСП (предоставляются реквизиты документа, которым утвержден перечень товаров, работ, услуг, закупка которых осуществляется у субъектов МСП; ссылка в информационно-телекоммуникационной сети «Интернет», по которой размещен перечень товаров, работ, услуг, закупка которых осуществляется у субъектов МСП);</w:t>
            </w:r>
          </w:p>
          <w:p>
            <w:pPr>
              <w:pStyle w:val="Default"/>
              <w:bidi w:val="0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trike w:val="false"/>
                <w:dstrike w:val="false"/>
                <w:sz w:val="22"/>
                <w:szCs w:val="22"/>
                <w:u w:val="none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наличии и составе критериев отнесения продукции к инновационной или высокотехнологичной, утвержденных отраслевыми федеральными органами исполнительной власти (предоставляются информация, содержащая наименование федерального органа исполнительной власти, осуществляющего функции по нормативно-правовому регулированию в установленной сфере деятельности, наименование и характеристики критерия отнесения продукции к инновационной или высокотехнологичной; реквизиты </w:t>
            </w:r>
            <w:r>
              <w:rPr>
                <w:rFonts w:ascii="Calibri" w:hAnsi="Calibri"/>
                <w:strike w:val="false"/>
                <w:dstrike w:val="false"/>
                <w:sz w:val="22"/>
                <w:szCs w:val="22"/>
                <w:u w:val="none"/>
              </w:rPr>
              <w:t xml:space="preserve">8 </w:t>
            </w:r>
          </w:p>
          <w:p>
            <w:pPr>
              <w:pStyle w:val="Default"/>
              <w:bidi w:val="0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документа федерального органа исполнительной власти, которым утвержден критерий отнесения продукции к инновационной или высокотехнологичной); 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strike w:val="false"/>
                <w:dstrike w:val="false"/>
                <w:sz w:val="28"/>
                <w:u w:val="none"/>
              </w:rPr>
            </w:pPr>
            <w:r>
              <w:rPr>
                <w:rFonts w:ascii="Calibri" w:hAnsi="Calibri"/>
                <w:strike w:val="false"/>
                <w:dstrike w:val="false"/>
                <w:sz w:val="22"/>
                <w:szCs w:val="22"/>
                <w:u w:val="none"/>
              </w:rPr>
              <w:t xml:space="preserve">– </w:t>
            </w:r>
            <w:r>
              <w:rPr>
                <w:rFonts w:ascii="Calibri" w:hAnsi="Calibri"/>
                <w:strike w:val="false"/>
                <w:dstrike w:val="false"/>
                <w:sz w:val="22"/>
                <w:szCs w:val="22"/>
                <w:u w:val="none"/>
              </w:rPr>
              <w:t xml:space="preserve">закупках товаров, работ, услуг, в том числе закупках инновационной продукции, высокотехнологичной продукции, планируемых Заказчиком на текущий календарный год (предоставляются ссылка в информационно-телекоммуникационной сети «Интернет», по которой размещен план закупок товаров, работ, услуг, в том числе закупок инновационной продукции, высокотехнологичной продукции, на текущий календарный год; реквизиты документа, которым утвержден план закупок товаров, работ, услуг, в том числе закупок инновационной продукции, высокотехнологичной продукции, на текущий календарный год). </w:t>
            </w:r>
          </w:p>
          <w:p>
            <w:pPr>
              <w:pStyle w:val="ConsPlusNormal"/>
              <w:bidi w:val="0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Calibri" w:hAnsi="Calibri"/>
                <w:color w:val="000000"/>
                <w:sz w:val="22"/>
                <w:szCs w:val="22"/>
              </w:rPr>
              <w:t>2.</w:t>
            </w:r>
            <w:r>
              <w:rPr>
                <w:rFonts w:cs="Arial" w:ascii="Calibri" w:hAnsi="Calibri"/>
                <w:color w:val="000000"/>
                <w:sz w:val="22"/>
                <w:szCs w:val="22"/>
              </w:rPr>
              <w:t xml:space="preserve">Уведомление об отсутствии сведений. 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Default"/>
              <w:bidi w:val="0"/>
              <w:spacing w:lineRule="auto" w:line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В день обращения Заявителя – в случае подачи заявления на получение информации в отношении от 1 (одного) до 3 (трех) Заказчиков; </w:t>
            </w:r>
          </w:p>
          <w:p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 (два) рабочих дня, включая день обращения, – в случае подачи заявления на получение информации в отношении от 4 (четырех) до 20 (двадцати) Заказчиков; </w:t>
            </w:r>
          </w:p>
          <w:p>
            <w:pPr>
              <w:pStyle w:val="Normal"/>
              <w:bidi w:val="0"/>
              <w:spacing w:lineRule="auto" w:line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trike w:val="false"/>
                <w:dstrike w:val="false"/>
                <w:sz w:val="22"/>
                <w:szCs w:val="22"/>
                <w:u w:val="none"/>
              </w:rPr>
              <w:t xml:space="preserve">3 (три) рабочих дня, включая день обращения, – в случае подачи заявления на получение информации в отношении более 20 (двадцати) заказчиков. </w:t>
            </w:r>
          </w:p>
          <w:p>
            <w:pPr>
              <w:pStyle w:val="Normal"/>
              <w:bidi w:val="0"/>
              <w:spacing w:lineRule="auto" w:line="240" w:before="220" w:after="20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Default"/>
              <w:bidi w:val="0"/>
              <w:spacing w:lineRule="auto" w:line="24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1. Заявление заполнено с нарушением формы, установленной приложением № 1 к настоящим Требованиям. </w:t>
            </w:r>
          </w:p>
          <w:p>
            <w:pPr>
              <w:pStyle w:val="Normal"/>
              <w:bidi w:val="0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Не предоставлены документы, предусмотренные в обязательных документах (в подпункте 12.2 настоящих Требований). </w:t>
            </w:r>
          </w:p>
        </w:tc>
      </w:tr>
      <w:tr>
        <w:trPr>
          <w:trHeight w:val="523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Услуга предоставляется на бесплатной основе.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highlight w:val="yellow"/>
                <w:lang w:eastAsia="ru-RU"/>
              </w:rPr>
            </w:pPr>
            <w:r>
              <w:rPr/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Default"/>
              <w:rPr/>
            </w:pPr>
            <w:r>
              <w:rPr/>
              <w:t xml:space="preserve"> </w:t>
            </w:r>
            <w:r>
              <w:rPr>
                <w:rFonts w:ascii="Calibri" w:hAnsi="Calibri"/>
                <w:b/>
                <w:sz w:val="22"/>
              </w:rPr>
              <w:t xml:space="preserve">ТРЕБОВАНИЯ </w:t>
            </w:r>
            <w:r>
              <w:rPr>
                <w:rFonts w:ascii="Calibri" w:hAnsi="Calibri"/>
                <w:b/>
                <w:sz w:val="22"/>
              </w:rPr>
              <w:t>к предоставлению акционерным обществом «Федеральная корпорация по развитию малого и среднего предпринимательства» услуги по предоставлению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Федеральным законом от 18 июля 2011 г. № 223-ФЗ «О закупках товаров, работ, услуг отдельными видами юридических лиц»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(</w:t>
            </w:r>
            <w:r>
              <w:rPr/>
              <w:t xml:space="preserve"> УТВЕРЖДЕНЫ решением Совета директоров АО «Корпорация «МСП» «2</w:t>
            </w:r>
            <w:r>
              <w:rPr/>
              <w:t>8</w:t>
            </w:r>
            <w:r>
              <w:rPr/>
              <w:t xml:space="preserve"> » </w:t>
            </w:r>
            <w:r>
              <w:rPr/>
              <w:t>сентябр</w:t>
            </w:r>
            <w:r>
              <w:rPr/>
              <w:t>я 201</w:t>
            </w:r>
            <w:r>
              <w:rPr/>
              <w:t>6</w:t>
            </w:r>
            <w:r>
              <w:rPr/>
              <w:t xml:space="preserve"> г. (протокол № </w:t>
            </w:r>
            <w:r>
              <w:rPr/>
              <w:t>19</w:t>
            </w:r>
            <w:r>
              <w:rPr/>
              <w:t xml:space="preserve">) 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Style15" w:customStyle="1">
    <w:name w:val="Интернет-ссылка"/>
    <w:rPr>
      <w:color w:val="000080"/>
      <w:u w:val="single"/>
    </w:rPr>
  </w:style>
  <w:style w:type="paragraph" w:styleId="Style16" w:customStyle="1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jc w:val="left"/>
    </w:pPr>
    <w:rPr>
      <w:rFonts w:ascii="Calibri" w:hAnsi="Calibri" w:eastAsia="Times New Roman" w:cs="Calibri"/>
      <w:b/>
      <w:color w:val="00000A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jc w:val="left"/>
    </w:pPr>
    <w:rPr>
      <w:rFonts w:ascii="Calibri" w:hAnsi="Calibri" w:eastAsia="Times New Roman" w:cs="Calibri"/>
      <w:color w:val="00000A"/>
      <w:sz w:val="22"/>
      <w:szCs w:val="20"/>
      <w:lang w:val="ru-RU" w:eastAsia="ru-RU" w:bidi="ar-SA"/>
    </w:rPr>
  </w:style>
  <w:style w:type="paragraph" w:styleId="Default" w:customStyle="1">
    <w:name w:val="Default"/>
    <w:qFormat/>
    <w:pPr>
      <w:widowControl w:val="false"/>
      <w:bidi w:val="0"/>
      <w:jc w:val="left"/>
    </w:pPr>
    <w:rPr>
      <w:rFonts w:ascii="Times New Roman" w:hAnsi="Times New Roman" w:eastAsia="Calibri" w:cs=""/>
      <w:color w:val="000000"/>
      <w:sz w:val="24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LibreOffice/5.3.3.2$Windows_X86_64 LibreOffice_project/3d9a8b4b4e538a85e0782bd6c2d430bafe583448</Application>
  <Pages>4</Pages>
  <Words>1057</Words>
  <Characters>8075</Characters>
  <CharactersWithSpaces>9125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2016-09-29T11:40:00Z</dcterms:created>
  <dc:creator>Кондакова Наталия Петровна</dc:creator>
  <dc:description/>
  <dc:language>ru-RU</dc:language>
  <cp:lastModifiedBy/>
  <cp:lastPrinted>2018-08-08T10:10:00Z</cp:lastPrinted>
  <dcterms:modified xsi:type="dcterms:W3CDTF">2019-03-29T16:03:13Z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