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80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85"/>
        <w:gridCol w:w="11594"/>
      </w:tblGrid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</w:rPr>
              <w:t>Наименование услуги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Liberation Sans;Arial"/>
                <w:b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Liberation Sans;Arial"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Выдача </w:t>
            </w:r>
            <w:r>
              <w:rPr>
                <w:rFonts w:cs="Liberation Sans;Arial" w:ascii="Arial" w:hAnsi="Arial"/>
                <w:b/>
                <w:bCs/>
                <w:color w:val="000000"/>
                <w:sz w:val="24"/>
                <w:szCs w:val="24"/>
                <w:shd w:fill="auto" w:val="clear"/>
              </w:rPr>
              <w:t>градостроительного плана земельного участка</w:t>
            </w:r>
          </w:p>
        </w:tc>
      </w:tr>
      <w:tr>
        <w:trPr/>
        <w:tc>
          <w:tcPr>
            <w:tcW w:w="3285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Ответственный орган</w:t>
            </w:r>
          </w:p>
        </w:tc>
        <w:tc>
          <w:tcPr>
            <w:tcW w:w="11594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/>
                <w:sz w:val="24"/>
                <w:szCs w:val="24"/>
                <w:shd w:fill="auto" w:val="clear"/>
              </w:rPr>
              <w:t xml:space="preserve">Администрацией </w:t>
            </w:r>
            <w:r>
              <w:rPr>
                <w:rFonts w:eastAsia="Calibri" w:cs="Liberation Sans;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Мишкинского </w:t>
            </w:r>
            <w:r>
              <w:rPr>
                <w:rFonts w:eastAsia="Calibri" w:cs="Arial" w:ascii="Arial" w:hAnsi="Arial"/>
                <w:sz w:val="24"/>
                <w:szCs w:val="24"/>
                <w:shd w:fill="auto" w:val="clear"/>
              </w:rPr>
              <w:t>района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Получатели услуги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Физические, юридические лица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Услуга предоставляется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Муниципальная услуга предоставляется  Администрацией </w:t>
            </w:r>
            <w:r>
              <w:rPr>
                <w:rFonts w:eastAsia="Calibri" w:cs="Liberation Sans;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>Мишкинского муниципального округа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Заявители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4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 xml:space="preserve">Заявителями 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>при обращении за получением услуги являются правообладатели земельных участков, а также иные лица в случае, предусмотренном частью 1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</w:rPr>
              <w:t>1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 xml:space="preserve"> статьи 57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</w:rPr>
              <w:t>3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 xml:space="preserve"> Градостроительного кодекса Российской Федерации.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firstLine="34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Обязательные документы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1) 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заявление о выдаче градостроительного плана земельного участка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2)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Мишкинского района, в том числе через </w:t>
            </w:r>
            <w:r>
              <w:rPr>
                <w:rFonts w:eastAsia="Calibri" w:cs="Liberation Sans" w:ascii="Arial" w:hAnsi="Arial"/>
                <w:color w:val="000000"/>
                <w:sz w:val="24"/>
                <w:szCs w:val="24"/>
                <w:shd w:fill="auto" w:val="clear"/>
                <w:lang w:eastAsia="en-US"/>
              </w:rPr>
              <w:t>многофункциональный центр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color w:val="000000"/>
                <w:sz w:val="24"/>
                <w:szCs w:val="24"/>
                <w:shd w:fill="auto" w:val="clear"/>
                <w:lang w:eastAsia="en-US"/>
              </w:rPr>
              <w:t xml:space="preserve">3) 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4)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Необязательные документы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3)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района,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3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Градостроительного кодекса Российской Федерации;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1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статьи 57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3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Градостроительного кодекса Российской Федерации;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5) договор о комплексном развитии территории в случае, предусмотренном частью 4 статьи 57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3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8) документация по планировке территории в случаях, предусмотренных частью 4 статьи 57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3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Результат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Liberation Sans;Arial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- 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градостроительный</w:t>
            </w:r>
            <w:r>
              <w:rPr>
                <w:rFonts w:eastAsia="Calibri" w:cs="Liberation Sans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план земельного участка;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>- 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Срок предоставления услуги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BodyTextIndent2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Не более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14</w:t>
            </w:r>
            <w:r>
              <w:rPr>
                <w:rFonts w:eastAsia="Times New Roman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рабочих дней со дня регистрации з</w:t>
            </w:r>
            <w:bookmarkStart w:id="0" w:name="_GoBack"/>
            <w:bookmarkEnd w:id="0"/>
            <w:r>
              <w:rPr>
                <w:rFonts w:eastAsia="Times New Roman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апроса (заявления)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Стоимость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Предоставление </w:t>
            </w:r>
            <w:r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  <w:t>услуги осуществляется без взимания платы</w:t>
            </w:r>
          </w:p>
        </w:tc>
      </w:tr>
      <w:tr>
        <w:trPr/>
        <w:tc>
          <w:tcPr>
            <w:tcW w:w="328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shd w:fill="auto" w:val="clear"/>
                <w:lang w:eastAsia="ru-RU"/>
              </w:rPr>
              <w:t>Административный регламент</w:t>
            </w:r>
          </w:p>
        </w:tc>
        <w:tc>
          <w:tcPr>
            <w:tcW w:w="1159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Style17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Постановление Администрации </w:t>
            </w:r>
            <w:r>
              <w:rPr>
                <w:rStyle w:val="FontStyle20"/>
                <w:rFonts w:eastAsia="Calibri" w:cs="Liberation Sans;Arial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Мишкинского района </w:t>
            </w:r>
            <w:r>
              <w:rPr>
                <w:rFonts w:cs="Liberation Sans;Arial" w:ascii="Arial" w:hAnsi="Arial"/>
                <w:b w:val="false"/>
                <w:color w:val="000000"/>
                <w:sz w:val="24"/>
                <w:szCs w:val="24"/>
                <w:u w:val="none"/>
                <w:shd w:fill="auto" w:val="clear"/>
              </w:rPr>
              <w:t>от 18 марта 2022 года №</w:t>
            </w:r>
            <w:r>
              <w:rPr>
                <w:rFonts w:eastAsia="Calibri" w:cs="Liberation Sans;Arial" w:ascii="Arial" w:hAnsi="Arial"/>
                <w:b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34</w:t>
            </w:r>
            <w:r>
              <w:rPr>
                <w:rFonts w:cs="Liberation Sans;Arial" w:ascii="Arial" w:hAnsi="Arial"/>
                <w:b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cs="Liberation Sans;Arial" w:ascii="Arial" w:hAnsi="Arial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«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4"/>
                <w:szCs w:val="24"/>
                <w:u w:val="none"/>
                <w:shd w:fill="auto" w:val="clear"/>
                <w:lang w:val="ru-RU" w:eastAsia="ar-SA" w:bidi="ar-SA"/>
              </w:rPr>
              <w:t xml:space="preserve">Об </w:t>
            </w:r>
            <w:r>
              <w:rPr>
                <w:rFonts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shd w:fill="auto" w:val="clear"/>
                <w:lang w:eastAsia="ar-SA"/>
              </w:rPr>
              <w:t>утверждении Административного регламента предоставления Администрацией Мишкинского района муниципальной услуги п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ar-SA"/>
              </w:rPr>
              <w:t>о выдаче градостроительного плана земельного участка»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Liberation Sans;Arial"/>
                <w:b w:val="false"/>
                <w:b w:val="false"/>
                <w:bCs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shd w:fill="auto" w:val="clear"/>
                <w:lang w:val="ru-RU" w:eastAsia="ru-RU" w:bidi="ar-SA"/>
              </w:rPr>
            </w:pPr>
            <w:r>
              <w:rPr>
                <w:rFonts w:eastAsia="Calibri" w:cs="Liberation Sans;Arial" w:ascii="Arial" w:hAnsi="Arial"/>
                <w:b w:val="false"/>
                <w:bCs/>
                <w:i w:val="false"/>
                <w:iCs w:val="false"/>
                <w:color w:val="000000"/>
                <w:sz w:val="24"/>
                <w:szCs w:val="24"/>
                <w:u w:val="none"/>
                <w:shd w:fill="auto" w:val="clear"/>
                <w:lang w:val="ru-RU" w:eastAsia="ru-RU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FontStyle20" w:customStyle="1">
    <w:name w:val="Font Style20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character" w:styleId="WW8Num2z0">
    <w:name w:val="WW8Num2z0"/>
    <w:qFormat/>
    <w:rPr>
      <w:rFonts w:ascii="Arial" w:hAnsi="Arial" w:cs="Arial"/>
      <w:b w:val="false"/>
      <w:bCs/>
      <w:iCs/>
      <w:sz w:val="24"/>
      <w:szCs w:val="24"/>
      <w:lang w:val="ru-RU" w:eastAsia="ru-RU"/>
    </w:rPr>
  </w:style>
  <w:style w:type="character" w:styleId="WW8Num2z1">
    <w:name w:val="WW8Num2z1"/>
    <w:qFormat/>
    <w:rPr>
      <w:rFonts w:ascii="Liberation Sans;Arial" w:hAnsi="Liberation Sans;Arial" w:cs="Arial"/>
      <w:b w:val="false"/>
      <w:bCs/>
      <w:sz w:val="24"/>
      <w:szCs w:val="24"/>
      <w:lang w:eastAsia="ru-RU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110" w:customStyle="1">
    <w:name w:val="Style1"/>
    <w:basedOn w:val="Normal"/>
    <w:qFormat/>
    <w:pPr/>
    <w:rPr/>
  </w:style>
  <w:style w:type="paragraph" w:styleId="Style21" w:customStyle="1">
    <w:name w:val="Style2"/>
    <w:basedOn w:val="Normal"/>
    <w:qFormat/>
    <w:pPr>
      <w:spacing w:lineRule="exact" w:line="233"/>
      <w:jc w:val="center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LibreOffice/7.0.0.3$Windows_X86_64 LibreOffice_project/8061b3e9204bef6b321a21033174034a5e2ea88e</Application>
  <Pages>3</Pages>
  <Words>516</Words>
  <Characters>4021</Characters>
  <CharactersWithSpaces>4502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2022-09-30T10:24:00Z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