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6"/>
        <w:gridCol w:w="12906"/>
      </w:tblGrid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left"/>
              <w:rPr>
                <w:rFonts w:ascii="Arial" w:hAnsi="Arial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  <w:lang w:eastAsia="en-US"/>
              </w:rPr>
              <w:t>«Выдача разрешения на ввод объекта в эксплуатацию».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>
                <w:rStyle w:val="S5"/>
                <w:rFonts w:eastAsia="Times New Roman" w:cs="Calibri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Администрация Шатровского муниципального округа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>
                <w:rStyle w:val="S5"/>
                <w:rFonts w:eastAsia="Times New Roman" w:cs="Calibri" w:ascii="Arial" w:hAnsi="Arial"/>
                <w:b w:val="false"/>
                <w:bCs/>
                <w:color w:val="000000" w:themeColor="text1"/>
                <w:sz w:val="24"/>
                <w:szCs w:val="24"/>
                <w:lang w:eastAsia="ru-RU"/>
              </w:rPr>
              <w:t xml:space="preserve">отдел по развитию территории, жилищно-коммунального хозяйства, промышленности и строительства Администрации Шатровского муниципального округа </w:t>
            </w:r>
            <w:r>
              <w:rPr>
                <w:rStyle w:val="S5"/>
                <w:rFonts w:eastAsia="Times New Roman" w:cs="Calibri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 (К.П. Ядрышников 8 /35257/ 9 10 04)</w:t>
            </w:r>
          </w:p>
        </w:tc>
      </w:tr>
      <w:tr>
        <w:trPr>
          <w:trHeight w:val="589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</w:rPr>
              <w:t>Заявителями на получение муниципальной услуги являются застройщики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4"/>
                <w:szCs w:val="24"/>
                <w:shd w:fill="FFFFFF" w:val="clear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      </w:r>
          </w:p>
        </w:tc>
      </w:tr>
      <w:tr>
        <w:trPr>
          <w:trHeight w:val="6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Calibri" w:ascii="Arial" w:hAnsi="Arial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постановление Администрации Шатровского муниципального округа от 15 апреля 2020 года№ 192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FFFFFF" w:val="clear"/>
              </w:rPr>
              <w:t>Физические лица или юридические лица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eastAsia="Calibri" w:ascii="Arial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заявление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 xml:space="preserve"> о выдаче разрешения на ввод объекта в эксплуатацию;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-документ, подтверждающий полномочия представителя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-д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-технический план объекта капитального строительства, подготовленный в соответствии с Федеральным законом «О государственной регистрации недвижимости».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eastAsia="Calibri" w:ascii="Arial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заявление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 xml:space="preserve"> об исправлении допущенных опечаток и ошибок в </w:t>
            </w:r>
            <w:r>
              <w:rPr>
                <w:rFonts w:eastAsia="Times New Roman" w:ascii="Arial" w:hAnsi="Arial"/>
                <w:b w:val="false"/>
                <w:bCs/>
                <w:color w:val="000000" w:themeColor="text1"/>
                <w:sz w:val="24"/>
                <w:szCs w:val="24"/>
                <w:lang w:eastAsia="ru-RU"/>
              </w:rPr>
              <w:t xml:space="preserve">разрешении 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eastAsia="Calibri" w:ascii="Arial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заявление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 xml:space="preserve"> о выдаче дубликата разрешения на ввод объекта в эксплуатацию.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-градостроительный план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-разрешение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-акт приемки объекта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-заключение органа государственного строительного надзора;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 акт приемки выполненных работ по сохранению объекта культурного наследия.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228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-р</w:t>
            </w:r>
            <w:r>
              <w:rPr>
                <w:rFonts w:eastAsia="Calibri" w:cs="Arial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ешение об отказе в выдаче разрешения на ввод объекта в эксплуатацию.</w:t>
            </w:r>
          </w:p>
        </w:tc>
      </w:tr>
      <w:tr>
        <w:trPr>
          <w:trHeight w:val="6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 xml:space="preserve">-не более </w:t>
            </w:r>
            <w:r>
              <w:rPr>
                <w:rFonts w:eastAsia="Calibri" w:ascii="Arial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пяти рабочих дней </w:t>
            </w: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со дня поступления заявления о выдаче разрешения на ввод объекта в эксплуатацию в уполномоченный орган местного самоуправления</w:t>
            </w:r>
          </w:p>
        </w:tc>
      </w:tr>
      <w:tr>
        <w:trPr>
          <w:trHeight w:val="7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FF" w:val="clear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3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услуги осуществляется без взимания платы</w:t>
            </w:r>
          </w:p>
        </w:tc>
      </w:tr>
      <w:tr>
        <w:trPr>
          <w:trHeight w:val="1256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Постановление от 15 апреля 2022 года № 192 Об утверждении Административного регламента предоставления муниципальной услуги «Выдача разрешения на ввод объекта в эксплуатацию»  Администрации Шатровского муниципального округа Курганской области.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LibreOffice/7.0.4.2$Windows_X86_64 LibreOffice_project/dcf040e67528d9187c66b2379df5ea4407429775</Application>
  <AppVersion>15.0000</AppVersion>
  <Pages>2</Pages>
  <Words>384</Words>
  <Characters>3086</Characters>
  <CharactersWithSpaces>3431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2023-08-23T11:49:43Z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