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/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Arial" w:hAnsi="Arial"/>
                <w:b/>
                <w:bCs/>
                <w:sz w:val="26"/>
                <w:szCs w:val="26"/>
                <w:lang w:eastAsia="en-US"/>
              </w:rPr>
              <w:t xml:space="preserve">«Выдача разрешения на установку и эксплуатацию рекламных конструкций на соответствующей территории, аннулирование такого разрешения»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6"/>
                <w:szCs w:val="26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hanging="0"/>
              <w:jc w:val="both"/>
              <w:outlineLvl w:val="0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zh-CN"/>
              </w:rPr>
              <w:t>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0" w:name="sub_221"/>
            <w:bookmarkEnd w:id="0"/>
            <w:r>
              <w:rPr>
                <w:rFonts w:ascii="Arial" w:hAnsi="Arial"/>
                <w:sz w:val="26"/>
                <w:szCs w:val="26"/>
              </w:rPr>
              <w:t>1)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1" w:name="sub_221"/>
            <w:bookmarkStart w:id="2" w:name="sub_222"/>
            <w:bookmarkEnd w:id="1"/>
            <w:bookmarkEnd w:id="2"/>
            <w:r>
              <w:rPr>
                <w:rFonts w:ascii="Arial" w:hAnsi="Arial"/>
                <w:sz w:val="26"/>
                <w:szCs w:val="26"/>
              </w:rPr>
              <w:t>2)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арендатором;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3" w:name="sub_222"/>
            <w:bookmarkStart w:id="4" w:name="sub_223"/>
            <w:bookmarkEnd w:id="3"/>
            <w:bookmarkEnd w:id="4"/>
            <w:r>
              <w:rPr>
                <w:rFonts w:ascii="Arial" w:hAnsi="Arial"/>
                <w:sz w:val="26"/>
                <w:szCs w:val="26"/>
              </w:rPr>
              <w:t>3) лицо,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5" w:name="sub_223"/>
            <w:bookmarkStart w:id="6" w:name="sub_224"/>
            <w:bookmarkEnd w:id="5"/>
            <w:bookmarkEnd w:id="6"/>
            <w:r>
              <w:rPr>
                <w:rFonts w:ascii="Arial" w:hAnsi="Arial"/>
                <w:sz w:val="26"/>
                <w:szCs w:val="26"/>
              </w:rPr>
              <w:t>4)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7" w:name="sub_224"/>
            <w:bookmarkStart w:id="8" w:name="sub_225"/>
            <w:bookmarkEnd w:id="7"/>
            <w:bookmarkEnd w:id="8"/>
            <w:r>
              <w:rPr>
                <w:rFonts w:ascii="Arial" w:hAnsi="Arial"/>
                <w:sz w:val="26"/>
                <w:szCs w:val="26"/>
              </w:rPr>
              <w:t>5) доверительный убавляющий недвижимого имущества, к которому присоединяется рекламная конструкция;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hanging="0"/>
              <w:jc w:val="both"/>
              <w:outlineLvl w:val="0"/>
              <w:rPr>
                <w:rFonts w:ascii="Arial" w:hAnsi="Arial"/>
                <w:sz w:val="26"/>
                <w:szCs w:val="26"/>
              </w:rPr>
            </w:pPr>
            <w:bookmarkStart w:id="9" w:name="sub_225"/>
            <w:bookmarkEnd w:id="9"/>
            <w:r>
              <w:rPr>
                <w:rFonts w:cs="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zh-CN"/>
              </w:rPr>
              <w:t>6) владелец рекламной конструкции.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trike w:val="false"/>
                <w:dstrike w:val="false"/>
                <w:sz w:val="26"/>
                <w:szCs w:val="26"/>
                <w:u w:val="none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З</w:t>
            </w:r>
            <w:r>
              <w:rPr>
                <w:rFonts w:cs="PT Astra Serif" w:ascii="Arial" w:hAnsi="Arial"/>
                <w:bCs/>
                <w:sz w:val="26"/>
                <w:szCs w:val="26"/>
              </w:rPr>
              <w:t>аявление о предоставлении муниципальной услуги по форме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Д</w:t>
            </w:r>
            <w:r>
              <w:rPr>
                <w:rFonts w:cs="PT Astra Serif" w:ascii="Arial" w:hAnsi="Arial"/>
                <w:bCs/>
                <w:sz w:val="26"/>
                <w:szCs w:val="26"/>
              </w:rPr>
              <w:t xml:space="preserve">окумент, удостоверяющий личность Заявителя или представителя Заявителя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Д</w:t>
            </w:r>
            <w:r>
              <w:rPr>
                <w:rFonts w:cs="PT Astra Serif" w:ascii="Arial" w:hAnsi="Arial"/>
                <w:bCs/>
                <w:sz w:val="26"/>
                <w:szCs w:val="26"/>
              </w:rPr>
              <w:t>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PT Astra Serif" w:ascii="Arial" w:hAnsi="Arial"/>
                <w:b/>
                <w:bCs/>
                <w:sz w:val="26"/>
                <w:szCs w:val="26"/>
                <w:u w:val="single"/>
              </w:rPr>
              <w:t>Д</w:t>
            </w:r>
            <w:r>
              <w:rPr>
                <w:rFonts w:cs="PT Astra Serif" w:ascii="Arial" w:hAnsi="Arial"/>
                <w:b/>
                <w:bCs/>
                <w:sz w:val="26"/>
                <w:szCs w:val="26"/>
                <w:u w:val="single"/>
              </w:rPr>
              <w:t>ля выдачи разрешения на установку и эксплуатацию рекламной конструкции заявитель дополнительно предоставляет: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1.  проектную документацию рекламной конструкции;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2. эскиз рекламной конструкции;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3.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4. нотариально 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5.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6. договор на установку и эксплуатацию рекламной конструкции, за исключением случаев: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bookmarkStart w:id="10" w:name="sub_11261"/>
            <w:bookmarkEnd w:id="10"/>
            <w:r>
              <w:rPr>
                <w:rFonts w:ascii="Arial" w:hAnsi="Arial"/>
                <w:sz w:val="26"/>
                <w:szCs w:val="26"/>
              </w:rPr>
      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bookmarkStart w:id="11" w:name="sub_11261"/>
            <w:bookmarkEnd w:id="11"/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-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PT Astra Serif" w:ascii="Arial" w:hAnsi="Arial"/>
                <w:b/>
                <w:bCs/>
                <w:sz w:val="26"/>
                <w:szCs w:val="26"/>
                <w:u w:val="single"/>
              </w:rPr>
              <w:t>В случае обращения заявителя за аннулированием разрешения на установку и эксплуатацию рекламной конструкции: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1. Уведомление об отказе от дальнейшего использования разрешения;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  <w:u w:val="none"/>
              </w:rPr>
              <w:t>2.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Единого государственного реестра юридических лиц для подтверждения регистрации юридического лица на территории Российской Федерации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200"/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Государственной информационной системы государственных и муниципальных платежах (ГИС ГМП) для проверки сведений об оплате государственной пошлины.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720" w:right="-1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1)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720" w:right="-1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2) решение о предоставлении муниципальной услуги, в случае обращения за аннулированием разрешения на установку и эксплуатацию рекламной конструкции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720" w:right="-1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 xml:space="preserve">3) решение об отказе в предоставлении муниципальной услуги, в случае наличия оснований для отказа в предоставлении муниципальной услуги, указанных в </w:t>
            </w:r>
            <w:hyperlink w:anchor="sub_130">
              <w:r>
                <w:rPr>
                  <w:rFonts w:cs="Times New Roman CYR" w:ascii="Arial" w:hAnsi="Arial"/>
                  <w:bCs/>
                  <w:color w:val="auto"/>
                  <w:sz w:val="26"/>
                  <w:szCs w:val="26"/>
                </w:rPr>
                <w:t>подразделе 13</w:t>
              </w:r>
            </w:hyperlink>
            <w:r>
              <w:rPr>
                <w:rFonts w:cs="PT Astra Serif" w:ascii="Arial" w:hAnsi="Arial"/>
                <w:bCs/>
                <w:sz w:val="26"/>
                <w:szCs w:val="26"/>
              </w:rPr>
              <w:t xml:space="preserve"> настоящего Административного регламента.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Срок выдачи разрешения на установку и эксплуатацию рекламной конструкции — </w:t>
            </w:r>
            <w:r>
              <w:rPr>
                <w:rFonts w:ascii="Arial" w:hAnsi="Arial"/>
                <w:sz w:val="26"/>
                <w:szCs w:val="26"/>
              </w:rPr>
              <w:t>12 рабочих дней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Срок выдачи решения об аннулировании разрешения на установку и эксплуатацию рекламной конструкции — </w:t>
            </w:r>
            <w:r>
              <w:rPr>
                <w:rFonts w:ascii="Arial" w:hAnsi="Arial"/>
                <w:sz w:val="26"/>
                <w:szCs w:val="26"/>
              </w:rPr>
              <w:t>7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right="-1" w:hanging="0"/>
              <w:jc w:val="both"/>
              <w:rPr>
                <w:rFonts w:ascii="Arial" w:hAnsi="Arial" w:cs="PT Astra Serif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sz w:val="26"/>
                <w:szCs w:val="26"/>
              </w:rPr>
              <w:t>Размер государственной пошлины составляет 5 000 рублей.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</w:t>
            </w:r>
            <w:r>
              <w:rPr>
                <w:rFonts w:eastAsia="Calibri" w:cs="Arial" w:ascii="Arial" w:hAnsi="Arial"/>
                <w:b/>
                <w:bCs/>
                <w:color w:val="000000"/>
                <w:spacing w:val="-1"/>
                <w:sz w:val="26"/>
                <w:szCs w:val="26"/>
                <w:lang w:eastAsia="en-US"/>
              </w:rPr>
              <w:t xml:space="preserve">остановление Администрации Шатровского муниципального округа № 180 от 11 апреля 2022 года </w:t>
            </w:r>
            <w:r>
              <w:rPr>
                <w:rFonts w:eastAsia="Calibri" w:cs="Times New Roman" w:ascii="Arial" w:hAnsi="Arial"/>
                <w:b/>
                <w:bCs/>
                <w:color w:val="000000"/>
                <w:spacing w:val="-1"/>
                <w:sz w:val="26"/>
                <w:szCs w:val="26"/>
                <w:lang w:eastAsia="en-US"/>
              </w:rPr>
              <w:t xml:space="preserve"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b/>
                <w:b/>
                <w:bCs/>
                <w:i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Arial" w:hAnsi="Arial"/>
                <w:sz w:val="26"/>
                <w:szCs w:val="26"/>
                <w:lang w:eastAsia="en-US"/>
              </w:rPr>
              <w:t>К.П. Ядрышников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Arial" w:hAnsi="Arial"/>
                <w:strike w:val="false"/>
                <w:dstrike w:val="false"/>
                <w:sz w:val="26"/>
                <w:szCs w:val="26"/>
                <w:u w:val="none"/>
                <w:lang w:eastAsia="en-US"/>
              </w:rPr>
              <w:t>8/35257/ 9 10 04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Application>LibreOffice/7.0.4.2$Windows_X86_64 LibreOffice_project/dcf040e67528d9187c66b2379df5ea4407429775</Application>
  <AppVersion>15.0000</AppVersion>
  <Pages>4</Pages>
  <Words>607</Words>
  <Characters>4730</Characters>
  <CharactersWithSpaces>5277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2024-12-02T16:05:33Z</dcterms:modified>
  <cp:revision>160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