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24" w:type="dxa"/>
        <w:jc w:val="left"/>
        <w:tblInd w:w="17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8"/>
        <w:gridCol w:w="12485"/>
      </w:tblGrid>
      <w:tr>
        <w:trPr>
          <w:trHeight w:val="49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color w:val="000000" w:themeColor="text1"/>
                <w:sz w:val="22"/>
                <w:szCs w:val="22"/>
                <w:lang w:val="ru-RU"/>
              </w:rPr>
              <w:t>«</w:t>
            </w:r>
            <w:r>
              <w:rPr>
                <w:rFonts w:ascii="Arial" w:hAnsi="Arial"/>
                <w:b w:val="false"/>
                <w:bCs w:val="false"/>
                <w:color w:val="000000" w:themeColor="text1"/>
                <w:sz w:val="22"/>
                <w:szCs w:val="22"/>
                <w:lang w:val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0000" w:themeColor="text1"/>
                <w:sz w:val="22"/>
                <w:szCs w:val="22"/>
                <w:lang w:val="ru-RU"/>
              </w:rPr>
              <w:t>»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cs="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PT Astra Serif" w:ascii="Arial" w:hAnsi="Arial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eastAsia="Calibri" w:cs="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Arial" w:hAnsi="Arial"/>
                <w:b w:val="false"/>
                <w:bCs w:val="false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</w:t>
            </w:r>
            <w:r>
              <w:rPr>
                <w:rFonts w:eastAsia="Calibri" w:cs="" w:ascii="Arial" w:hAnsi="Arial"/>
                <w:b w:val="false"/>
                <w:bCs w:val="false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тдел по развитию территории, жилищно-коммунальному хозяйству, промышленности и строительству Администрации Шатровского муниципального округа</w:t>
            </w:r>
          </w:p>
        </w:tc>
      </w:tr>
      <w:tr>
        <w:trPr>
          <w:trHeight w:val="43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Style w:val="1"/>
                <w:rFonts w:cs="Arial" w:ascii="Arial" w:hAnsi="Arial"/>
                <w:b w:val="false"/>
                <w:bCs w:val="false"/>
                <w:color w:val="000000" w:themeColor="text1"/>
                <w:sz w:val="22"/>
                <w:szCs w:val="22"/>
                <w:lang w:val="ru-RU"/>
              </w:rPr>
              <w:t xml:space="preserve">Заявителями при обращении являются застройщики </w:t>
            </w:r>
            <w:r>
              <w:rPr>
                <w:rStyle w:val="1"/>
                <w:rFonts w:cs="Arial" w:ascii="Arial" w:hAnsi="Arial"/>
                <w:b w:val="false"/>
                <w:bCs w:val="false"/>
                <w:color w:val="000000" w:themeColor="text1"/>
                <w:sz w:val="22"/>
                <w:szCs w:val="22"/>
                <w:lang w:val="ru-RU"/>
              </w:rPr>
              <w:t>(физические, юридически лица).</w:t>
            </w:r>
          </w:p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rStyle w:val="1"/>
                <w:rFonts w:cs="Arial" w:ascii="Arial" w:hAnsi="Arial"/>
                <w:b w:val="false"/>
                <w:bCs w:val="false"/>
                <w:color w:val="000000" w:themeColor="text1"/>
                <w:sz w:val="22"/>
                <w:szCs w:val="22"/>
                <w:lang w:val="ru-RU"/>
              </w:rPr>
              <w:t>Заявитель вправе обратиться за получением услуги через представителя.</w:t>
            </w:r>
          </w:p>
        </w:tc>
      </w:tr>
      <w:tr>
        <w:trPr>
          <w:trHeight w:val="168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2"/>
                <w:szCs w:val="22"/>
                <w:shd w:fill="auto" w:val="clear"/>
                <w:lang w:eastAsia="en-US"/>
              </w:rPr>
              <w:t xml:space="preserve">заявление о выдаче разрешения на строительство </w:t>
            </w:r>
            <w:r>
              <w:rPr>
                <w:rFonts w:ascii="Arial" w:hAnsi="Arial"/>
                <w:b w:val="false"/>
                <w:bCs w:val="false"/>
                <w:color w:val="000000" w:themeColor="text1"/>
                <w:sz w:val="22"/>
                <w:szCs w:val="22"/>
                <w:shd w:fill="auto" w:val="clear"/>
                <w:lang w:eastAsia="en-US"/>
              </w:rPr>
              <w:t>ОКС или  заявление о внесении изменений в разрешение на строительство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2"/>
                <w:szCs w:val="22"/>
                <w:shd w:fill="auto" w:val="clear"/>
                <w:lang w:eastAsia="en-US"/>
              </w:rPr>
              <w:t>уведомление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2"/>
                <w:szCs w:val="22"/>
                <w:shd w:fill="auto" w:val="clear"/>
                <w:lang w:eastAsia="en-US"/>
              </w:rPr>
              <w:t>документ, удостоверяющий личность заявителя или представителя заявителя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2"/>
                <w:szCs w:val="22"/>
                <w:shd w:fill="auto" w:val="clear"/>
                <w:lang w:eastAsia="en-US"/>
              </w:rPr>
              <w:t>документ, подтверждающий полномочия представителя заявителя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2"/>
                <w:szCs w:val="22"/>
                <w:shd w:fill="auto" w:val="clear"/>
                <w:lang w:eastAsia="en-US"/>
              </w:rPr>
              <w:t>согласие всех правообладателей объекта капитального строительства в случае реконструкции такого объекта (есть исключения, смотри АР   г) п.20 )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 w:themeColor="text1"/>
                <w:sz w:val="22"/>
                <w:szCs w:val="22"/>
                <w:shd w:fill="auto" w:val="clear"/>
                <w:lang w:eastAsia="en-US"/>
              </w:rPr>
              <w:t>решение общего собрания собственников помещений и машино-мест в многоквартирном доме</w:t>
            </w:r>
          </w:p>
        </w:tc>
      </w:tr>
      <w:tr>
        <w:trPr>
          <w:trHeight w:val="52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 w:themeColor="text1"/>
                <w:sz w:val="22"/>
                <w:szCs w:val="22"/>
              </w:rPr>
              <w:t>правоустанавливающие документы на земельный участок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 w:themeColor="text1"/>
                <w:sz w:val="22"/>
                <w:szCs w:val="22"/>
              </w:rPr>
              <w:t>при наличии соглашения о передаче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 w:themeColor="text1"/>
                <w:sz w:val="22"/>
                <w:szCs w:val="22"/>
              </w:rPr>
              <w:t>градостроительный план земельного участка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 w:themeColor="text1"/>
                <w:sz w:val="22"/>
                <w:szCs w:val="22"/>
              </w:rPr>
              <w:t>результаты инженерных изысканий и следующие материалы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 w:themeColor="text1"/>
                <w:sz w:val="22"/>
                <w:szCs w:val="22"/>
              </w:rPr>
              <w:t>положительное заключение экспертизы проектной документации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 w:themeColor="text1"/>
                <w:sz w:val="22"/>
                <w:szCs w:val="22"/>
              </w:rPr>
              <w:t>подтверждение соответствия вносимых в проектную документацию изменений требованиям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 w:themeColor="text1"/>
                <w:sz w:val="22"/>
                <w:szCs w:val="22"/>
              </w:rPr>
              <w:t xml:space="preserve">разрешение на отклонение от предельных параметров </w:t>
            </w:r>
            <w:r>
              <w:rPr>
                <w:rFonts w:ascii="Arial" w:hAnsi="Arial"/>
                <w:b w:val="false"/>
                <w:bCs/>
                <w:color w:val="000000" w:themeColor="text1"/>
                <w:sz w:val="22"/>
                <w:szCs w:val="22"/>
              </w:rPr>
              <w:t>и т.д.</w:t>
            </w:r>
          </w:p>
          <w:p>
            <w:pPr>
              <w:pStyle w:val="ConsPlusNormal"/>
              <w:widowControl w:val="false"/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671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 w:themeColor="text1"/>
                <w:sz w:val="22"/>
                <w:szCs w:val="22"/>
              </w:rPr>
              <w:t>разрешение на строительство (в том числе на отдельные этапы строительства, реконструкции объекта капитального строительства)</w:t>
            </w:r>
          </w:p>
          <w:p>
            <w:pPr>
              <w:pStyle w:val="ConsPlusNormal"/>
              <w:widowControl w:val="false"/>
              <w:numPr>
                <w:ilvl w:val="0"/>
                <w:numId w:val="3"/>
              </w:numPr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 w:themeColor="text1"/>
                <w:sz w:val="22"/>
                <w:szCs w:val="22"/>
              </w:rPr>
              <w:t>решение об отказе в выдаче разрешения на строительство</w:t>
            </w:r>
          </w:p>
          <w:p>
            <w:pPr>
              <w:pStyle w:val="ConsPlusNormal"/>
              <w:widowControl w:val="false"/>
              <w:numPr>
                <w:ilvl w:val="0"/>
                <w:numId w:val="3"/>
              </w:numPr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 w:themeColor="text1"/>
                <w:sz w:val="22"/>
                <w:szCs w:val="22"/>
              </w:rPr>
              <w:t>решение об отказе во внесении изменений в разрешение на строительство</w:t>
            </w:r>
          </w:p>
        </w:tc>
      </w:tr>
      <w:tr>
        <w:trPr>
          <w:trHeight w:val="66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Не более 5 рабочих дней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отсутстувуют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бесплатно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нет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Style w:val="Style17"/>
                <w:rFonts w:cs="PT Astra Serif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eastAsia="ru-RU"/>
              </w:rPr>
              <w:t xml:space="preserve">Постановление Администрации Шатровского муниципального округа № 195 от 18 апреля 2022 года </w:t>
            </w:r>
            <w:r>
              <w:rPr>
                <w:rStyle w:val="Style17"/>
                <w:rFonts w:eastAsia="Calibri" w:cs="PT Astra Serif" w:ascii="Arial" w:hAnsi="Arial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yle17"/>
                <w:rFonts w:cs="PT Astra Serif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>
              <w:rPr>
                <w:rStyle w:val="Style17"/>
                <w:rFonts w:eastAsia="Calibri" w:cs="PT Astra Serif" w:ascii="Arial" w:hAnsi="Arial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 xml:space="preserve">» 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8/35257/      </w:t>
            </w:r>
            <w:r>
              <w:rPr>
                <w:rFonts w:eastAsia="Calibri" w:ascii="Arial" w:hAnsi="Arial"/>
                <w:b w:val="false"/>
                <w:bCs w:val="false"/>
                <w:sz w:val="22"/>
                <w:szCs w:val="22"/>
                <w:lang w:eastAsia="en-US"/>
              </w:rPr>
              <w:t>К.П. Ядрышников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Arial" w:hAnsi="Arial"/>
                <w:b w:val="false"/>
                <w:bCs w:val="false"/>
                <w:sz w:val="22"/>
                <w:szCs w:val="22"/>
                <w:lang w:eastAsia="en-US"/>
              </w:rPr>
              <w:t>9 10 04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5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LibreOffice/7.0.4.2$Windows_X86_64 LibreOffice_project/dcf040e67528d9187c66b2379df5ea4407429775</Application>
  <AppVersion>15.0000</AppVersion>
  <Pages>2</Pages>
  <Words>324</Words>
  <Characters>2407</Characters>
  <CharactersWithSpaces>2683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2024-11-13T16:00:38Z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