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color w:val="0070C0"/>
              </w:rPr>
              <w:t>Департамент агропромышленного комплекса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Style w:val="Style9"/>
                  <w:rFonts w:eastAsia="Times New Roman" w:cs="Arial" w:ascii="Arial" w:hAnsi="Arial"/>
                  <w:color w:val="16683F"/>
                  <w:sz w:val="21"/>
                  <w:szCs w:val="21"/>
                  <w:lang w:eastAsia="ru-RU"/>
                </w:rPr>
                <w:t>Физические лица</w:t>
              </w:r>
            </w:hyperlink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Государственную услугу предоставляет Департамент агропромышленного комплекса Курганской области через Инспекции.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Государственная услуга предоставляется непосредственно главными государственными инженерами-инспекторами, государственными инженерами-инспекторами Управления гостехнадзора.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1.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Лица, прошедшие профессиональное обучение в организации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, осуществляющей образовательную деятельность, и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в случае получения удостоверения тракториста-машиниста (тракториста) впервые, замены удостоверения тракториста-машиниста (тракториста) в связи с открытием другой категории или в связи с получением квалификации "тракторист-машинист"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Удостоверения тракториста-машиниста (тракториста) выдаются лицам, достигшим возраста: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16 лет - для самоходных машин категории AI;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17 лет - для самоходных машин категории B, C, E, F;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18 лет - для самоходных машин категории D;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19 лет - для самоходных машин категории AII, AIII;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22 лет - для самоходных машин категории AIV.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2.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Лица имеющее российское национальное водительское удостоверение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на право управления транспортным средством соответствующей категории и стаж управления не менее 12 месяцев - для самоходных машин категории AII, AIII и AIV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3.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Лица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, зарегистрированные на территории Курганской области,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имеющие удостоверения на право управления самоходными машинами, выданное уполномоченным органом иностранного государства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(далее - Национальное удостоверение), обратившиеся за выдачей удостоверения тракториста - машиниста (тракториста).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4.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Лица, подвергнутые административному наказанию в виде лишения управления транспортным средством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за совершение административных правонарушений, предусмотренных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0"/>
                <w:u w:val="none"/>
              </w:rPr>
              <w:t>статьей 9.3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и </w:t>
            </w:r>
            <w:hyperlink r:id="rId3">
              <w:r>
                <w:rPr>
                  <w:rStyle w:val="Hyperlink"/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u w:val="none"/>
                </w:rPr>
                <w:t>главой 12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Кодекса Российской Федерации об административных правонарушениях либо в отношении которых имеется вступивший в законную силу приговор суда о назначении наказания в виде лишения права управления транспортным средством после уплаты в установленном порядке наложенных на него административных штрафов за административные правонарушения в области дорожного движения.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before="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5.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Лица зарегистрированные по месту жительства (месту пребывания) в Курганской области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, которым были ранее выданы удостоверения тракториста-машиниста (тракториста),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в случае замены (получения) удостоверения тракториста-машиниста (тракториста), в том числе в связи с присвоением квалификации в рамках имеющихся категорий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, за исключением случаев, предусмотренных подпунктом 2.2.1 пункта 2.2 настоящего Административного регламента.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0"/>
              <w:rPr>
                <w:rFonts w:ascii="Arial" w:hAnsi="Arial" w:eastAsia="Times New Roman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1"/>
                <w:szCs w:val="21"/>
                <w:lang w:eastAsia="ru-RU"/>
              </w:rPr>
              <w:t>Для приема экзаменов на право управления самоходными машинами и выдачи УТМ или временного удостоверения заявителем предоставляются в Инспекцию по зарегистрированному месту жительства заявителя (месту пребывания)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1.заявление по установленной форме;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2. паспорт или иной документ, удостоверяющий личность заявителя (предоставляется при подаче документов и возвращается заявителю после их принятия);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3.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медицинское заключение (в подлиннике)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4.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о квалификации (свидетельство о профессии рабочего, должности служащего), полученный в 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(в подлиннике) (далее - документ о квалификации)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5. УТМ или удостоверение другого вида на право управления самоходными машинами (далее - удостоверение другого вида), если оно ранее выдавалось,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(если не утрачено) (в подлиннике)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6.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две фотографии, размером 3 x 4 см, на матовой бумаге, за исключением случаев автоматизированного изготовления удостоверений в Департаменте при наличии технической возможности (далее - две фотографии, размером 3 x 4 см)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7.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российское национальное водительское удостоверение на право управления транспортным средством соответствующей категории и стаж управления им не менее 12 месяцев - для самоходных машин категорий "A II", "A III" и "A IV" (в подлиннике)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lang w:val="en-US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8. Справка о повторном обучении практическим навыкам управления самоходными машинами, выданная организацией, осуществляющей образовательную деятельность (в случае если кандидат трижды не сдал практический экзамен) (в подлиннике) (далее - справка о повторном обучении)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9. выписка из протокола приема экзаменов (для получения временного удостоверения) (в подлиннике).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ind w:hanging="0" w:left="0"/>
              <w:jc w:val="both"/>
              <w:rPr>
                <w:b/>
                <w:bCs/>
                <w:color w:val="FF0000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FF0000"/>
                <w:sz w:val="20"/>
                <w:u w:val="none"/>
              </w:rPr>
              <w:t>Для замены УТМ, временного удостоверения или удостоверения другого вида заявителем предоставляются следующие документы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 заявление по установленной форме;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 документ, удостоверяющий личность;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 документ об образовании и (или) о квалификации (при замене временного удостоверения и присвоения квалификации в рамках имеющихся категорий) (в подлиннике) (далее - документ о квалификации);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 медицинское заключение;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5.российское национальное водительское удостоверение;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6. УТМ, временное удостоверение или удостоверение другого вида (за исключением случая замены УТМ в связи с утратой (хищением) (в подлиннике);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7. две фотографии, размером 3 x 4 см;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8. перевод национального удостоверения, заверенный нотариусом или другим должностным лицом, имеющим право совершать такие действия (в случае замены национального удостоверения);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9. индивидуальная карточка или другой документ, подтверждающий выдачу УТМ или удостоверение другого вида на право управления самоходными машинами;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10. документы, подтверждающие факт изменения персональных данных заявителя (в случае замены УТМ в связи с изменением содержащихся в УТМ персональных данных о заявителе).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/>
                <w:bCs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/>
                <w:bCs/>
                <w:i w:val="false"/>
                <w:i w:val="false"/>
                <w:strike w:val="false"/>
                <w:dstrike w:val="false"/>
                <w:color w:val="FF0000"/>
                <w:sz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color w:val="FF0000"/>
                <w:sz w:val="20"/>
                <w:u w:val="none"/>
              </w:rPr>
              <w:t>Для возврата УТМ заявителю, подвергнутому административному наказанию в виде лишения права управления транспортным средством за совершение административных правонарушений, предусмотренных статьей 9.3 и главой 12 Кодекса Российской Федерации об административных правонарушениях,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необходимо предоставить следующие документы: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 заявление по установленной форме;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 документ, удостоверяющий личность заявителя;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 медицинское заключение, выданное после прекращения действия права на управление транспортными средствами;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 документ, подтверждающий факт сдачи экзамена на проверку знаний Правил дорожного движения Российской Федерации, которая проводилась по истечении не менее половины срока лишения права управления назначенному лицу (в подлиннике);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 документ, подтверждающий факт уплаты в установленном порядке наложенных на заявителя административных штрафов за административные правонарушения в области дорожного движения.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color w:val="FF0000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1"/>
                <w:szCs w:val="21"/>
                <w:lang w:eastAsia="ru-RU"/>
              </w:rPr>
              <w:t>Заявитель вправе по собственной инициативе представить: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индивидуальную карточку;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другой документ, подтверждающий выдачу удостоверения на право управления самоходными машинами;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документ, подтверждающий уплату государственной пошлины;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заверенную в установленном порядке копию лицензии организации, осуществляющей образовательную деятельность по программам профессионального обучения лиц для получения права управления самоходными машинами.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документ, подтверждающий уплату государственной пошлины;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Вместе с предъявленным удостоверением на право управления самоходными машинами, выданным гражданину Российской Федерации, иностранному гражданину или лицу без гражданства в другой стране (далее - национальное удостоверение), заявитель должен представить его перевод на русский язык - заверенный нотариусом или другим должностным лицом, имеющим право совершать такие действия (национальное удостоверение, на основании которого иностранному гражданину выдано УТМ, возвращается владельцу).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b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1"/>
                <w:szCs w:val="21"/>
                <w:lang w:eastAsia="ru-RU"/>
              </w:rPr>
              <w:t>Для замены удостоверения или иного документа, подтверждающего право на управление машинами с электродвигателями мощностью свыше 4 кВт либо внедорожными автотранспортными средствами, дополнительно представляются: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заверенная в установленном порядке копия документа, подтверждающего факт допуска к выполнению работы по управлению машинами с электродвигателем мощностью свыше 4 кВт либо внедорожными автотранспортными средствами;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документ о прохождении обучения (подготовки) по соответствующей квалификации (при наличии).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1"/>
                <w:szCs w:val="21"/>
                <w:lang w:eastAsia="ru-RU"/>
              </w:rPr>
              <w:t>Для получения УТМ в связи с утратой (хищением) в Инспекции представляются следующие документы: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1) заявление по установленной форме (приложение 3 к Административному регламенту);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2) паспорт или иной документ, удостоверяющий личность заявителя (предоставляется при подаче документов и возвращается заявителю после их принятия);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3) медицинская справка (предоставляется в подлиннике и возвращается заявителю);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4) две фотографии, размером 3 x 4 см, на матовой бумаге, за исключением автоматизированного изготовления удостоверений в Инспекциях;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5) при изменении фамилии, имени, отчества дополнительно представляется документ, подтверждающий факт изменения фамилии, имени, отчества.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Документ, подтверждающий уплату государственной пошлины, может быть представлен заявителем по собственной инициативе.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При этом представляется медицинская справка, выданная после прекращения действия права на управление транспортными средствами.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К документам, необходимым в соответствии с нормативными правовыми актами для предоставления государственной услуги, которые находятся в распоряжении исполнительных органов государственной власти, иных органов и организаций и которые заявитель вправе представить в Департамент по собственной инициативе, относятся: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1.документ об уплате государственной пошлины;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 сведения о наличии лицензии организации, осуществляющей образовательную деятельность по программам профессионального обучения лиц для получения права управления самоходными машинами;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 сведения об отсутствии лишения права управления транспортными средствами;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 сведения о выданном УТМ, временном удостоверении;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 сведения об изменении фамилии, имени или отчества для лиц, изменивших фамилию, имя или отчество;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6. сведения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Заявителям - гражданам Российской Федерации, проживающим на территориях Донецкой Народной Республики, Луганской Народной Республики, Запорожской области и Херсонской области, приобретшим гражданство Российской Федерации в соответствии с федеральными конституционными законами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"О принятии в Российскую Федерацию Запорожской области и образовании в составе Российской Федерации нового субъекта - Запорожской области" или "О принятии в Российскую Федерацию Херсонской области и образовании в составе Российской Федерации нового субъекта - Херсонской области" (далее - федеральные конституционные законы), и граждане Российской Федерации, которые на день вступления в силу федеральных конституционных законов проживали на указанных территориях, в срок до 1 января 2026 года выдача УТМ производится без сдачи экзаменов на право управления самоходными машинами, без представления медицинского заключения и без взимания государственной пошлины при предоставлении следующих документов: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1"/>
                <w:szCs w:val="21"/>
                <w:lang w:eastAsia="ru-RU"/>
              </w:rPr>
              <w:t>Основания для отказа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 w:left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Основаниями для отказа в приеме документов, необходимых для предоставления государственной услуги, являются: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1) неполное заполнение полей в форме заявления, в том числе в интерактивной форме на Едином портале;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представленные документы или сведения утратили силу на момент обращения за услугой;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6) наличие противоречивых сведений в заявлении о предоставлении государственной услуги и приложенных к нему документах;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7) отсутствие документа о квалификации (свидетельство о профессии рабочего, должности служащего), полученное в организации, осуществляющей образовательную деятельность, имеющей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в Федеральной информационной системе "Федеральный реестр сведений о документах об образовании и (или) о квалификации, документах об обучении" (далее - ФИС ФРДО);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8) предоставленные заявителем документы, необходимые для предоставления государственной услуги, отменены или являются недействительными на момент обращения за услугой.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ind w:hanging="0" w:left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Основания для отказа в предоставлении государственной услуги являются: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1) представление неполного комплекта документов, необходимых для предоставления услуги;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лишение права управления транспортными средствами, в случае если срок лишения права управления транспортными средствами не истек (за исключением случая получения удостоверения тракториста-машиниста (тракториста) по истечении срока лишения специального права (взамен ранее изъятого);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3) отсутствие оплаты государственной пошлины за выдачу подтверждающих право на управление самоходными машинами удостоверений;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4) наличие медицинских противопоказаний к управлению самоходными машинами;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5) наличие у заявителя ранее выданного удостоверения тракториста-машиниста (тракториста) на право управления самоходными машинами тех категорий, для получения права на управление которыми сдаются экзамены (за исключением случаев замены удостоверения тракториста-машиниста (тракториста) в связи с открытием дополнительной категории или в связи с получением квалификации "тракторист-машинист", получения удостоверения на право управления самоходными машинами иностранными гражданами и лицами без гражданства в других государствах, возврата удостоверения тракториста-машиниста (тракториста) лицу, подвергнутому административному наказанию в виде лишения права управления транспортным средством за совершение административных правонарушений, предусмотренных статьей 9.3 и главой 12 Кодекса Российской Федерации об административных правонарушениях по истечении срока лишения права управления транспортным средством);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6) недостоверность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7) заявитель не является лицом, достигшим возраста: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16 лет - для самоходных машин категории AI;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17 лет - для самоходных машин категории B, C, E, F;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18 лет - для самоходных машин категории D;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19 лет - для самоходных машин категории AII, AIII;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22 лет - для самоходных машин категории AIV;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8) несдача практического экзамена 3 раза подряд;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9) несдача УТМ на период лишения;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10) самоходные машины и другие виды техники, представленные для приема практического экзамена, не зарегистрированы в органах гостехнадзора;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11) самоходные машины и другие виды техники, представленные для приема практического экзамена не имеют действующего на день проведения практического экзамена свидетельства о прохождении технического осмотра;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12) самоходные машины, используемые для проведения практического экзамена, не оборудованы средствами аудио- и видеофиксации;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13) отсутствие документов, сведений, подтверждающих факт уплаты в установленном порядке наложенных на заявителя административных штрафов за административные правонарушения в области дорожного движения;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14) предоставленные заявителем документы, необходимые для предоставления государственной услуги, отменены или являются недействительными на момент обращения за услугой.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2710" w:hRule="atLeast"/>
        </w:trPr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Результатом предоставления государственной услуги является: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1) выдача заявителю УТМ и создание реестровой записи о выданном УТМ в информационной системе Департамента, а также передача сведений в Федеральную государственную информационную систему учета и регистрации самоходных машин и тракторов (далее - ФГИС УСМТ);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выдача заявителю уведомления об отказе в предоставлении государственной услуги с указанием причин отказа в соответствии с п. 30 настоящего Регламента.</w:t>
            </w:r>
          </w:p>
          <w:p>
            <w:pPr>
              <w:pStyle w:val="Normal"/>
              <w:spacing w:before="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text2" w:val="1F497D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Срок рассмотрения заявления исчисляется с рабочего дня, следующего за днем подачи заявления.</w:t>
            </w:r>
          </w:p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Максимальный срок предоставления государственной услуги составляет 10 рабочих дней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со дня регистрации запроса.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Срок приостановления предоставления государственной услуги не может превышать 30 календарных дней со дня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, следующего за днем установления оснований для приостановления государственной услуги.</w:t>
            </w:r>
          </w:p>
          <w:p>
            <w:pPr>
              <w:pStyle w:val="Normal"/>
              <w:spacing w:before="200" w:after="200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Срок выдачи (направления) документов, являющихся результатом предоставления государственной услуги не может превышать 2 рабочих дней со дня успешной сдачи теоретического и практического экзаменов или подписания мотивированного отказа в предоставлении государственной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3089" w:hRule="atLeast"/>
        </w:trPr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hanging="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 выдачу удостоверения тракториста-машиниста (тракториста), временного удостоверения на право управления самоходными машинами, в том числе взамен утраченного или пришедшего в негодность: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изготавливаемого из расходных материалов на бумажной основе, - 500 рублей;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изготавливаемого из расходных материалов на пластиковой основе, - 2 000 рублей;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ind w:hanging="0" w:left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Заявитель уплачивает государственную пошлину до подачи заявления и документов, необходимых для предоставления государственной услуги при очной сдаче документов в Департамент.</w:t>
            </w:r>
          </w:p>
          <w:p>
            <w:pPr>
              <w:pStyle w:val="Normal"/>
              <w:spacing w:before="200" w:after="200"/>
              <w:ind w:firstLine="540" w:left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Коды ОКТМО районов Курганской области и других административных образований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W w:w="456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75"/>
              <w:gridCol w:w="2091"/>
            </w:tblGrid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0" w:right="-1313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Альменево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37 602 404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Белозерка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37 604 408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Варгаши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37 606 151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Далматово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37 608 101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Звериноголовское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37 609 418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Каргаполье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37 610 151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Катайск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37 612 101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Кетово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37 614 432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Куртамыш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37 616 101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Лебяжье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37 618 151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Макушино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37 620 101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Мишкино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37 622 151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Мокроусово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37 624 428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Петухово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37 626 101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Половинное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37 628 428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Притобольный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37 630 416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Сафакулево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37 632 428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Целинное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37 634 456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Частоозерье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37 636 428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Шадринский р-он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37 638 000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Шатрово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37 640 464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Шумиха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37 642 101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Щучье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37 644 101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Юргамыш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37 646 151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г. Курган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37 701 000</w:t>
                  </w:r>
                </w:p>
              </w:tc>
            </w:tr>
            <w:tr>
              <w:trPr>
                <w:trHeight w:val="272" w:hRule="atLeast"/>
              </w:trPr>
              <w:tc>
                <w:tcPr>
                  <w:tcW w:w="2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г. Шадринск</w:t>
                  </w:r>
                </w:p>
              </w:tc>
              <w:tc>
                <w:tcPr>
                  <w:tcW w:w="2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37 705 000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Информация о Департаменте агропромышленного комплекса Курганской области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  <w:t>Департамент агропромышленного комплекса Курганской области находится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г. Курган, ул. Володарского, д. 65, строение 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  <w:t>Почтовый адрес для направления заявления и документов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: ул. Володарского, д. 65, строение 1, г. Курган, 640002.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График работы Департамента: понедельник - пятница с 8.00 до 17.00, перерыв на обед с 12.00 до 13.00; суббота, воскресенье - выходной день.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График работы инспекций отдела регистрации техники и организации государственного надзора Управления государственного надзора за техническим состоянием самоходных машин и других видов техники Курганской области Департамента агропромышленного комплекса Курганской области (далее - Инспекция, Инспекции):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понедельник - пятница с 8.00 до 17.00 (перерыв с 12.00 до 13.00) - приемный день;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вторник, среда, четверг с 8.00 до 17.00 (перерыв с 12.00 до 13.00) - мероприятия по контролю и надзору;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суббота, воскресенье - выходной день.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lang w:eastAsia="ru-RU"/>
              </w:rPr>
              <w:t>Справочные телефонные номера: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(3522) 43-32-65 - приемная первого заместителя Губернатора Курганской области - директора Департамента агропромышленного комплекса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(3522) 43-18-46 - Управление государственного надзора за техническим состоянием самоходных машин и других видов техники Курганской области Департамента агропромышленного комплекса Курганской области (далее - Управление гостехнадзора);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(3522) 43-20-70 - отдел регистрации техники и организации государственного надзора Управления гостехнадзора (далее - Отдел регистрации);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 (3522) 43-15-20 - факс Департамента.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Адрес электронной почты Департамента: e-mail: dsh@kurganobl.ru. Адрес официального сайта Департамента: </w:t>
            </w:r>
            <w:hyperlink r:id="rId4">
              <w:r>
                <w:rPr>
                  <w:rStyle w:val="Style9"/>
                  <w:rFonts w:eastAsia="Times New Roman" w:cs="Arial" w:ascii="Arial" w:hAnsi="Arial"/>
                  <w:sz w:val="21"/>
                  <w:szCs w:val="21"/>
                  <w:lang w:eastAsia="ru-RU"/>
                </w:rPr>
                <w:t>www.dsh.kurganobl.ru</w:t>
              </w:r>
            </w:hyperlink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СВЕДЕНИЯ О МЕСТЕ НАХОЖДЕНИЯ, РЕЖИМЕ РАБОТЫ, КОНТАКТНЫХ ТЕЛЕФОНАХ (ТЕЛЕФОНАХ ДЛЯ СПРАВОК), АДРЕСАХ ЭЛЕКТРОННОЙ ПОЧТЫ УПРАВЛЕНИЯ ГОСТЕХНАДЗОРА И ЕГО ИНСПЕКЦИЯХ В МУНИЦИПАЛЬНЫХ РАЙОНАХ И ГОРОДАХ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  <w:tbl>
            <w:tblPr>
              <w:tblW w:w="12292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firstRow="1" w:noVBand="1" w:lastRow="0" w:firstColumn="1" w:lastColumn="0" w:noHBand="0" w:val="04a0"/>
            </w:tblPr>
            <w:tblGrid>
              <w:gridCol w:w="517"/>
              <w:gridCol w:w="3411"/>
              <w:gridCol w:w="3261"/>
              <w:gridCol w:w="2552"/>
              <w:gridCol w:w="2551"/>
            </w:tblGrid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N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Наименование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Местонахождение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Контактный телефон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Адрес электронной почты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Управление гостехнадзора Курганской области Департамента АПК</w:t>
                  </w:r>
                </w:p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Курганской области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Курган, ул. Володарского, д. 65, стр. 1, каб. 313, 320 на 3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(3522) 462950,</w:t>
                  </w:r>
                </w:p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432070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technadzor@kurganobl.ru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г. Кургана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Курган, ул. Володарского, д. 65, стр. 1, каб. 212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(3522) 431967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gtn.kurgan@mail.ru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3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Альменевского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Альменево, пл. Комсомола, д. 1, каб. 10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(35242) 99337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gtn.almenevo@mail.ru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4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Белозерского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Белозерское, ул. Рогачева, д. 16, каб. б/н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(35232) 29072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gtn.belozerka@mail.ru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5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Варгашинского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р.п. Варгаши, ул. Чкалова, д. 22, каб. 106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(35233) 21202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gtn.vargashi@mail.ru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6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Далматовского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Далматово, ул. Советская, д. 187, каб. 2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(35252) 36749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gtn.dalmatovo@mail.ru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7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Звериноголовского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Звериноголовское, ул. К.Маркса, д. 8, каб. б/н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(35240) 21987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gtn.zverinka@mail.ru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8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Каргапольского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р.п. Каргаполье, ул. Ленина, д. 10, каб. 9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(35256) 21934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gtn.kargapolie@mail.ru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9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Катайского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Катайск, ул. Ленина, д. 200, каб. 29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(35251) 22659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gtn.kataysk@mail.ru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10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Кетовского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Кетово, ул. Космонавтов, д. 39, каб. 114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(35231) 38097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gtn.ketovo@mail.ru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11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Куртамышского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Куртамыш, ул. 22 Партсъезда, д. 44, каб. 24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(35249) 21615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gtn.kurtamysh@mail.ru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12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Лебяжьевского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р.п. Лебяжье, ул. К.Маркса, д. 85, каб. б/н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(35237) 90905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gtn.lebyajie@mail.ru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13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Макушинского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Макушино, ул. Ленина, д. 70, каб. 204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(35236) 20798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gtn.makushino@mail.ru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14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Мишкинского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р.п. Мишкино, ул. Ленина, д. 27, каб. 8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(35247) 31353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gtn.mishkino@mail.ru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15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Мокроусовского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Мокроусово, ул. Советская, д. 31, каб. б/н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(35234) 97521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gtn.mokrousovo@mail.ru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16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Петуховского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Петухово, ул. Октябрьская, д. 10, каб. 11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(35235) 38475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gtn.petuhovo@mail.ru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17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Половинского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Половинное, ул. Степная, д. 33, каб. 3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(35238) 91672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gtn.polovinnoe@mail.ru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18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Притобольного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Глядянское, ул. Красноармейская, д. 19, каб. 12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(35239) 99109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gtn.pritobol@mail.ru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19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Сафакулевского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Сафакулево, ул. Куйбышева, д. 35, каб. 36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(35243) 29395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gtn.safakulevo@mail.ru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20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Целинного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Целинное, ул. Советская, д. 66, каб. 16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(35241) 21528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gtn.celinnoe@mail.ru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21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Частоозерского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Частоозерье, ул. Октябрьская, д. 126, каб. б/н на 3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(35230) 91296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gtnchastoozere@mail.ru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22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г. Шадринска и Шадринского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Шадринск, ул. Р.Люксембург, д. 10, каб. 13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(35253) 76336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gtn.shadr@mail.ru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23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Шатровского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с. Шатрово, ул. Федосеева, д. 53, каб. 28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(35257) 91468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gtn.shatrovo@mail.ru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24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Шумихинского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Шумиха, ул. Белоносова, д. 30, каб. 1 на 2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(35245) 21194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gtn.shumiha@mail.ru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25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Щучанского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г. Щучье, ул. Пролетарская, д. 4, каб. 16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(35244) 22858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gtn.shuche@mail.ru</w:t>
                  </w:r>
                </w:p>
              </w:tc>
            </w:tr>
            <w:tr>
              <w:trPr/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26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Инспекция Юргамышского района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р.п. Юргамыш, ул. Пушкина, д. 24, каб. 18 на 1 этаже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(35248) 92232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sPlusNormal"/>
                    <w:widowControl w:val="false"/>
                    <w:jc w:val="center"/>
                    <w:rPr/>
                  </w:pPr>
                  <w:r>
                    <w:rPr/>
                    <w:t>gtn.urgamish@mail.ru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0" w:hAnsi="0"/>
                <w:b/>
                <w:color w:val="002060"/>
                <w:sz w:val="21"/>
                <w:szCs w:val="21"/>
                <w:lang w:eastAsia="ru-RU"/>
              </w:rPr>
              <w:t>РАСПОРЯЖЕНИЕ от 5 июля 2024 г. N 394 ОБ УТВЕРЖДЕНИИ АДМИНИСТРАТИВНОГО РЕГЛАМЕНТА ПРЕДОСТАВЛЕНИЯ ДЕПАРТАМЕНТОМ АГРОПРОМЫШЛЕННОГО КОМПЛЕКСА КУРГАНСКОЙ ОБЛАСТИ ГОСУДАРСТВЕННОЙ УСЛУГИ ПО ПРИЕМУ ЭКЗАМЕНОВ НА ПРАВО УПРАВЛЕНИЯ САМОХОДНЫМИ МАШИНАМИ И ВЫДАЧЕ ПОДТВЕРЖДАЮЩИХ ПРАВО НА УПРАВЛЕНИЕ САМОХОДНЫМИ МАШИНАМИ УДОСТОВЕРЕНИЙ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0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73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554a4c"/>
    <w:rPr>
      <w:color w:val="000080"/>
      <w:u w:val="single"/>
    </w:rPr>
  </w:style>
  <w:style w:type="character" w:styleId="-user">
    <w:name w:val="Интернет-ссылка (user)"/>
    <w:basedOn w:val="DefaultParagraphFont"/>
    <w:qFormat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54a4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7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https://login.consultant.ru/link/?req=doc&amp;base=LAW&amp;n=483238&amp;dst=100915" TargetMode="External"/><Relationship Id="rId4" Type="http://schemas.openxmlformats.org/officeDocument/2006/relationships/hyperlink" Target="http://www.dsh.kurganobl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LibreOffice/25.2.0.3$Windows_X86_64 LibreOffice_project/e1cf4a87eb02d755bce1a01209907ea5ddc8f069</Application>
  <AppVersion>15.0000</AppVersion>
  <Pages>13</Pages>
  <Words>2998</Words>
  <Characters>21036</Characters>
  <CharactersWithSpaces>23709</CharactersWithSpaces>
  <Paragraphs>325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2025-04-01T11:59:00Z</dcterms:created>
  <dc:creator>Надежда Николаевна Плотникова</dc:creator>
  <dc:description/>
  <dc:language>ru-RU</dc:language>
  <cp:lastModifiedBy/>
  <cp:lastPrinted>2018-07-09T11:53:00Z</cp:lastPrinted>
  <dcterms:modified xsi:type="dcterms:W3CDTF">2025-06-27T09:54:07Z</dcterms:modified>
  <cp:revision>35</cp:revision>
  <dc:subject/>
  <dc:title>Распоряжение Департамента агропромышленного комплекса Курганской области от 05.07.2024 N 394(ред. от 25.10.2024)"Об утверждении Административного регламента предоставления Департаментом агропромышленного комплекса Курганской области государственной услуги по приему экзаменов на право управления самоходными машинами и выдаче подтверждающих право на управление самоходными машинами удостоверений"(вместе с "Заявлением", "Уведомлением об отказе в предоставлении услуги/об отказе в приеме документов", "Требован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