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219" w:type="dxa"/>
        <w:jc w:val="left"/>
        <w:tblInd w:w="-72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125"/>
        <w:gridCol w:w="13093"/>
      </w:tblGrid>
      <w:tr>
        <w:trPr/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Присвоение и аннулирование адресов в городе Кургане</w:t>
            </w:r>
          </w:p>
        </w:tc>
      </w:tr>
      <w:tr>
        <w:trPr/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2">
              <w:r>
                <w:rPr>
                  <w:rFonts w:eastAsia="Times New Roman" w:cs="Arial" w:ascii="Arial" w:hAnsi="Arial"/>
                  <w:b w:val="false"/>
                  <w:bCs w:val="false"/>
                  <w:color w:val="auto"/>
                  <w:sz w:val="20"/>
                  <w:szCs w:val="20"/>
                  <w:lang w:eastAsia="ru-RU"/>
                </w:rPr>
                <w:t>Постановление Администрации города Кургана № 5715 от 28.07.2015 г. "Об утверждении Административного регламента предоставления Департаментом развития городского хозяйства Администрации города Кургана муниципальной услуги «Присвоение и аннулирование адресов в городе Кургане"</w:t>
              </w:r>
            </w:hyperlink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PT Astra Serif" w:ascii="Arial" w:hAnsi="Arial"/>
                <w:b w:val="false"/>
                <w:bCs w:val="false"/>
                <w:color w:val="auto"/>
                <w:sz w:val="20"/>
                <w:szCs w:val="20"/>
                <w:lang w:eastAsia="ru-RU"/>
              </w:rPr>
              <w:t xml:space="preserve">(в ред. Постановлений Администрации города Кургана </w:t>
            </w:r>
            <w:r>
              <w:rPr>
                <w:rFonts w:cs="PT Astra Serif" w:ascii="Arial" w:hAnsi="Arial"/>
                <w:b w:val="false"/>
                <w:bCs w:val="false"/>
                <w:color w:val="auto"/>
                <w:sz w:val="20"/>
                <w:szCs w:val="20"/>
              </w:rPr>
              <w:t xml:space="preserve">от 10.09.2015г. № 6761, от 04.02.2016 г. № 566, от 27.04.2016 г. № 2673, от 04.08.2016 г. № 5430, от 13.02.2017 г. № 1038, от 14.07.2017 г. № 5332, </w:t>
            </w:r>
            <w:r>
              <w:rPr>
                <w:rFonts w:eastAsia="Times New Roman" w:cs="PT Astra Serif" w:ascii="Arial" w:hAnsi="Arial"/>
                <w:b w:val="false"/>
                <w:bCs w:val="false"/>
                <w:color w:val="auto"/>
                <w:sz w:val="20"/>
                <w:szCs w:val="20"/>
                <w:lang w:eastAsia="ru-RU"/>
              </w:rPr>
              <w:t xml:space="preserve">от 24.11.2020 г. № 7133, от 31.05.2022 г. № 3440, </w:t>
            </w:r>
            <w:r>
              <w:rPr>
                <w:rFonts w:eastAsia="Times New Roman" w:cs="PT Astra Serif" w:ascii="Arial" w:hAnsi="Arial"/>
                <w:b w:val="false"/>
                <w:bCs w:val="false"/>
                <w:i w:val="false"/>
                <w:strike w:val="false"/>
                <w:dstrike w:val="false"/>
                <w:color w:val="auto"/>
                <w:sz w:val="20"/>
                <w:szCs w:val="20"/>
                <w:u w:val="none"/>
                <w:lang w:eastAsia="ru-RU"/>
              </w:rPr>
              <w:t xml:space="preserve">от 28.03.2024 </w:t>
            </w:r>
            <w:r>
              <w:rPr>
                <w:rFonts w:eastAsia="Times New Roman" w:cs="PT Astra Serif" w:ascii="Arial" w:hAnsi="Arial"/>
                <w:b w:val="false"/>
                <w:bCs w:val="false"/>
                <w:i w:val="false"/>
                <w:strike w:val="false"/>
                <w:dstrike w:val="false"/>
                <w:color w:val="auto"/>
                <w:sz w:val="20"/>
                <w:szCs w:val="20"/>
                <w:u w:val="none"/>
                <w:lang w:eastAsia="ru-RU"/>
              </w:rPr>
              <w:t xml:space="preserve">N 2600, </w:t>
            </w:r>
            <w:r>
              <w:rPr>
                <w:rFonts w:eastAsia="Times New Roman" w:cs="PT Astra Serif" w:ascii="Arial" w:hAnsi="Arial"/>
                <w:b w:val="false"/>
                <w:bCs w:val="false"/>
                <w:i w:val="false"/>
                <w:strike w:val="false"/>
                <w:dstrike w:val="false"/>
                <w:color w:val="auto"/>
                <w:sz w:val="20"/>
                <w:szCs w:val="20"/>
                <w:u w:val="none"/>
                <w:lang w:eastAsia="ru-RU"/>
              </w:rPr>
              <w:t xml:space="preserve">от 05.03.2026 </w:t>
            </w:r>
            <w:r>
              <w:rPr>
                <w:rFonts w:eastAsia="Times New Roman" w:cs="PT Astra Serif" w:ascii="Arial" w:hAnsi="Arial"/>
                <w:b w:val="false"/>
                <w:bCs w:val="false"/>
                <w:i w:val="false"/>
                <w:strike w:val="false"/>
                <w:dstrike w:val="false"/>
                <w:color w:val="auto"/>
                <w:sz w:val="20"/>
                <w:szCs w:val="20"/>
                <w:u w:val="none"/>
                <w:lang w:eastAsia="ru-RU"/>
              </w:rPr>
              <w:t xml:space="preserve">N 1975, </w:t>
            </w:r>
            <w:r>
              <w:rPr>
                <w:rFonts w:eastAsia="Times New Roman" w:cs="PT Astra Serif" w:ascii="Arial" w:hAnsi="Arial"/>
                <w:b w:val="false"/>
                <w:bCs w:val="false"/>
                <w:i w:val="false"/>
                <w:strike w:val="false"/>
                <w:dstrike w:val="false"/>
                <w:color w:val="auto"/>
                <w:sz w:val="20"/>
                <w:szCs w:val="20"/>
                <w:u w:val="none"/>
                <w:lang w:eastAsia="ru-RU"/>
              </w:rPr>
              <w:t>29.06.2026 № 5474</w:t>
            </w:r>
            <w:r>
              <w:rPr>
                <w:rFonts w:eastAsia="Times New Roman" w:cs="PT Astra Serif" w:ascii="Arial" w:hAnsi="Arial"/>
                <w:b w:val="false"/>
                <w:bCs w:val="false"/>
                <w:color w:val="auto"/>
                <w:sz w:val="20"/>
                <w:szCs w:val="20"/>
                <w:lang w:eastAsia="ru-RU"/>
              </w:rPr>
              <w:t>)</w:t>
            </w:r>
          </w:p>
        </w:tc>
      </w:tr>
      <w:tr>
        <w:trPr/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1"/>
                <w:szCs w:val="21"/>
                <w:lang w:eastAsia="ru-RU"/>
              </w:rPr>
              <w:t>Администрацией города Кургана</w:t>
            </w:r>
          </w:p>
        </w:tc>
      </w:tr>
      <w:tr>
        <w:trPr/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hyperlink r:id="rId3">
              <w:r>
                <w:rPr>
                  <w:rFonts w:eastAsia="Times New Roman" w:cs="Arial" w:ascii="Arial" w:hAnsi="Arial"/>
                  <w:b w:val="false"/>
                  <w:bCs w:val="false"/>
                  <w:color w:val="auto"/>
                  <w:sz w:val="21"/>
                  <w:szCs w:val="21"/>
                  <w:lang w:eastAsia="ru-RU"/>
                </w:rPr>
                <w:t>Департамент архитектуры, строительства и земельных отношений</w:t>
              </w:r>
            </w:hyperlink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1"/>
                <w:szCs w:val="21"/>
                <w:lang w:eastAsia="ru-RU"/>
              </w:rPr>
              <w:t xml:space="preserve"> Администрации города Кургана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1"/>
                <w:szCs w:val="21"/>
                <w:lang w:eastAsia="ru-RU"/>
              </w:rPr>
              <w:t>В предоставлении муниципальной услуги участвует муниципальное казенное учреждение города Кургана "Городская инспекция по земельным отношениям".</w:t>
            </w:r>
          </w:p>
        </w:tc>
      </w:tr>
      <w:tr>
        <w:trPr/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Отдел адресации объектов недвижимости муниципального казенного учреждения города Кургана «Городская инспекция по земельным отношениям г. Курган, ул. К. Мяготина, 90/II, каб. № 10, 42-82-13 (доб.6219, 6220)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часы приема граждан: - понедельник, вторник с 8-30 ч. до 12-00 ч., - четверг с 13-00 ч. до 17-00 ч.</w:t>
            </w:r>
          </w:p>
        </w:tc>
      </w:tr>
      <w:tr>
        <w:trPr>
          <w:trHeight w:val="2911" w:hRule="atLeast"/>
        </w:trPr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bidi w:val="0"/>
              <w:spacing w:lineRule="auto" w:line="276" w:before="0" w:after="200"/>
              <w:jc w:val="left"/>
              <w:rPr>
                <w:rFonts w:ascii="Arial" w:hAnsi="Arial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Заявители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Физические или юридические лица, являющиеся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собственниками объекта адресации</w:t>
            </w:r>
            <w:r>
              <w:rPr>
                <w:rFonts w:ascii="Arial" w:hAnsi="Arial"/>
                <w:sz w:val="20"/>
                <w:szCs w:val="20"/>
              </w:rPr>
              <w:t>, либо обладающие на объекты адресации правом хозяйственного ведения, правом оперативного управления, правом пожизненно наследуемого владения, правом постоянного (бессрочного) пользования.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При этом: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ascii="Arial" w:hAnsi="Arial"/>
                <w:color w:val="auto"/>
                <w:sz w:val="20"/>
                <w:szCs w:val="20"/>
                <w:lang w:val="ru-RU" w:bidi="ar-SA"/>
              </w:rPr>
              <w:t>1) О</w:t>
            </w:r>
            <w:r>
              <w:rPr>
                <w:rFonts w:ascii="Arial" w:hAnsi="Arial"/>
                <w:sz w:val="20"/>
                <w:szCs w:val="20"/>
              </w:rPr>
              <w:t xml:space="preserve">т имени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собственников помещений</w:t>
            </w:r>
            <w:r>
              <w:rPr>
                <w:rFonts w:ascii="Arial" w:hAnsi="Arial"/>
                <w:sz w:val="20"/>
                <w:szCs w:val="20"/>
              </w:rPr>
              <w:t xml:space="preserve">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собственников;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PT Astra Serif" w:ascii="Arial" w:hAnsi="Arial"/>
                <w:color w:val="auto"/>
                <w:sz w:val="20"/>
                <w:szCs w:val="20"/>
                <w:lang w:val="ru-RU" w:bidi="ar-SA"/>
              </w:rPr>
              <w:t xml:space="preserve">2) 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от имени 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 xml:space="preserve">членов садоводческого или огороднического некоммерческого товарищества </w:t>
            </w:r>
            <w:r>
              <w:rPr>
                <w:rFonts w:cs="PT Astra Serif" w:ascii="Arial" w:hAnsi="Arial"/>
                <w:sz w:val="20"/>
                <w:szCs w:val="20"/>
              </w:rPr>
              <w:t>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товарищества;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3) от имени лиц, указанных в абзаце 1 настоящего пункта, </w:t>
            </w:r>
            <w:r>
              <w:rPr>
                <w:rFonts w:cs="PT Astra Serif" w:ascii="Arial" w:hAnsi="Arial"/>
                <w:sz w:val="20"/>
                <w:szCs w:val="20"/>
                <w:shd w:fill="FFFFFF" w:val="clear"/>
              </w:rPr>
              <w:t xml:space="preserve">вправе обратиться 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  <w:shd w:fill="FFFFFF" w:val="clear"/>
              </w:rPr>
              <w:t>кадастровый инженер</w:t>
            </w:r>
            <w:r>
              <w:rPr>
                <w:rFonts w:cs="PT Astra Serif" w:ascii="Arial" w:hAnsi="Arial"/>
                <w:sz w:val="20"/>
                <w:szCs w:val="20"/>
                <w:shd w:fill="FFFFFF" w:val="clear"/>
              </w:rPr>
              <w:t>, выполняющий на основании документа, предусмотренного ст. 35 или ст. 42</w:t>
            </w:r>
            <w:r>
              <w:rPr>
                <w:rFonts w:cs="PT Astra Serif" w:ascii="Arial" w:hAnsi="Arial"/>
                <w:position w:val="0"/>
                <w:sz w:val="20"/>
                <w:sz w:val="20"/>
                <w:szCs w:val="20"/>
                <w:shd w:fill="FFFFFF" w:val="clear"/>
                <w:vertAlign w:val="baseline"/>
              </w:rPr>
              <w:t>.3</w:t>
            </w:r>
            <w:r>
              <w:rPr>
                <w:rFonts w:cs="PT Astra Serif" w:ascii="Arial" w:hAnsi="Arial"/>
                <w:sz w:val="20"/>
                <w:szCs w:val="20"/>
                <w:shd w:fill="FFFFFF" w:val="clear"/>
              </w:rPr>
              <w:t> Ф</w:t>
            </w:r>
            <w:r>
              <w:rPr>
                <w:rFonts w:eastAsia="Times New Roman" w:cs="PT Astra Serif" w:ascii="Arial" w:hAnsi="Arial"/>
                <w:color w:val="000000"/>
                <w:sz w:val="20"/>
                <w:szCs w:val="20"/>
                <w:shd w:fill="FFFFFF" w:val="clear"/>
                <w:lang w:val="ru-RU" w:bidi="ar-SA"/>
              </w:rPr>
              <w:t>З</w:t>
            </w:r>
            <w:r>
              <w:rPr>
                <w:rFonts w:cs="PT Astra Serif" w:ascii="Arial" w:hAnsi="Arial"/>
                <w:sz w:val="20"/>
                <w:szCs w:val="20"/>
                <w:shd w:fill="FFFFFF" w:val="clear"/>
              </w:rPr>
              <w:t xml:space="preserve"> от 24.07.2007 г. № 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Статьей 35: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 Кадастровые работы выполняются кадастровым инженером на основании заключаемого в соответствии с требованиями гражданского законодательства и настоящего ФЗ договора подряда на выполнение кадастровых работ, если иное не установлено ФЗ.</w:t>
            </w:r>
            <w:bookmarkStart w:id="0" w:name="Par0"/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1.1. Кадастровые работы могут выполняться кадастровым инженером, являющимся работником юридического лица, на основании трудового договора в случае, если кадастровые работы выполняются для собственных нужд такого юридического лица. При этом заключение предусмотренного ч. 1 настоящей статьи договора подряда не требуется.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2. В случаях, предусмотренных законодательством РФ, кадастровые работы могут быть выполнены кадастровым инженером на основании определения суда. Суд самостоятелен в выборе соответствующего кадастрового инженера. Расходы, связанные с выполнением таких кадастровых работ, и денежное вознаграждение соответствующему кадастровому инженеру подлежат возмещению и выплате в порядке, установленном законодательством РФ.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shd w:fill="FFFFFF" w:val="clear"/>
              </w:rPr>
              <w:t>Статьей 42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1. Комплексные кадастровые работы, финансируемые за счет бюджетных средств, выполняются на основании государственного или муниципального контракта на выполнение комплексных кадастровых работ, заключаемого заказчиком таких работ в порядке, установленном ФЗ от 5 апреля 2013 года N 44-ФЗ "О контрактной системе в сфере закупок товаров, работ, услуг для обеспечения государственных и муниципальных нужд".</w:t>
            </w:r>
            <w:bookmarkStart w:id="1" w:name="Par01"/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2. Комплексные кадастровые работы, финансируемые за счет внебюджетных средств, выполняются на основании договора подряда на выполнение комплексных кадастровых работ, заключаемого заказчиками таких работ в соответствии с требованиями гражданского законодательства и требованиями, установленными ст. 42.2, 42.6 и 42.7 настоящего ФЗ для указанного договора, с учетом особенностей, установленных ст. 42.1 и 42.11 настоящего ФЗ.</w:t>
            </w:r>
            <w:bookmarkStart w:id="2" w:name="Par1"/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3. Комплексные кадастровые работы выполняются кадастровым инженером, являющимся: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1) работником юридического лица, указанного в ст. 33 настоящего ФЗ, с которым заказчиком (заказчиками) комплексных кадастровых работ заключен указанный в ч. 1 или 2 настоящей статьи контракт или договор, на основании которых будут выполняться такие работы;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szCs w:val="20"/>
                <w:u w:val="none"/>
              </w:rPr>
              <w:t>2) индивидуальным предпринимателем, указанным в ст. 32 настоящего ФЗ, с которым заказчиком (заказчиками) комплексных кадастровых работ заключен указанный в ч. 1 или 2 настоящей статьи контракт или договор, на основании которых будут выполняться такие работы.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самоуправления.</w:t>
            </w:r>
            <w:bookmarkEnd w:id="0"/>
            <w:bookmarkEnd w:id="1"/>
            <w:bookmarkEnd w:id="2"/>
          </w:p>
        </w:tc>
      </w:tr>
      <w:tr>
        <w:trPr/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1) Заявление </w:t>
            </w:r>
            <w:r>
              <w:rPr>
                <w:rFonts w:eastAsia="Calibri" w:cs="PT Astra Serif" w:ascii="Arial" w:hAnsi="Arial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(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>по месту нахождения объекта адресации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>)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>.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адресации;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2) Копия документа, предусмотренного ст. 35 или ст. </w:t>
            </w:r>
            <w:r>
              <w:rPr>
                <w:rFonts w:cs="PT Astra Serif" w:ascii="Arial" w:hAnsi="Arial"/>
                <w:position w:val="0"/>
                <w:sz w:val="20"/>
                <w:sz w:val="20"/>
                <w:szCs w:val="20"/>
                <w:shd w:fill="FFFFFF" w:val="clear"/>
                <w:vertAlign w:val="baseline"/>
              </w:rPr>
              <w:t>42.3</w:t>
            </w:r>
            <w:r>
              <w:rPr>
                <w:rFonts w:cs="PT Astra Serif" w:ascii="Arial" w:hAnsi="Arial"/>
                <w:sz w:val="20"/>
                <w:szCs w:val="20"/>
                <w:shd w:fill="FFFFFF" w:val="clear"/>
              </w:rPr>
              <w:t> Ф</w:t>
            </w:r>
            <w:r>
              <w:rPr>
                <w:rFonts w:eastAsia="Times New Roman" w:cs="PT Astra Serif" w:ascii="Arial" w:hAnsi="Arial"/>
                <w:color w:val="000000"/>
                <w:sz w:val="20"/>
                <w:szCs w:val="20"/>
                <w:shd w:fill="FFFFFF" w:val="clear"/>
                <w:lang w:val="ru-RU" w:bidi="ar-SA"/>
              </w:rPr>
              <w:t>З</w:t>
            </w:r>
            <w:r>
              <w:rPr>
                <w:rFonts w:cs="PT Astra Serif" w:ascii="Arial" w:hAnsi="Arial"/>
                <w:sz w:val="20"/>
                <w:szCs w:val="20"/>
                <w:shd w:fill="FFFFFF" w:val="clear"/>
              </w:rPr>
              <w:t xml:space="preserve"> от 24.07.2007 г. № 221-ФЗ «О кадастровой деятельности», на основании которого осуществляется выполнение кадастровых работ – 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  <w:shd w:fill="FFFFFF" w:val="clear"/>
              </w:rPr>
              <w:t>при предоставлении заявления кадастровым инженером;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3) правоустанавливающие и (или) правоудостоверяющие документы на объект (объекты) адресации </w:t>
            </w:r>
            <w:r>
              <w:rPr>
                <w:rFonts w:cs="PT Astra Serif" w:ascii="Arial" w:hAnsi="Arial"/>
                <w:sz w:val="20"/>
                <w:szCs w:val="20"/>
                <w:shd w:fill="FFFFFF" w:val="clear"/>
              </w:rPr>
              <w:t>(в случае присвоения адреса зданию (строению) или сооружению, в том числе строительство которых не завершено, в соответствии с ГрадК РФ для строительства  которых получение разрешения на строительство не требуется, правоустанавливающие и (или) правоудостоверяющие  документы на ЗУ, на котором расположены указанное здание (строение),сооружение)</w:t>
            </w:r>
            <w:r>
              <w:rPr>
                <w:rFonts w:cs="PT Astra Serif" w:ascii="Arial" w:hAnsi="Arial"/>
                <w:sz w:val="20"/>
                <w:szCs w:val="20"/>
              </w:rPr>
              <w:t>, права на которые не зарегистрированы в ЕГРН;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5) документ, удостоверяющий личность заявителя или представителя заявителя, - предъявляется в случае представления заявления при личном обращении заявителя или представителя заявителя;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6) доверенность, выданная представителю заявителя, оформленная в порядке, предусмотренном законодательством Российской Федерации, - при представлении заявления представителем заявителя.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auto"/>
                <w:sz w:val="20"/>
                <w:szCs w:val="20"/>
                <w:lang w:eastAsia="ru-RU"/>
              </w:rPr>
              <w:t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заявитель, в соответствии с ч. 3 ст. 7 ФЗ от 27.07.2010г. № 210-ФЗ,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</w:tc>
      </w:tr>
      <w:tr>
        <w:trPr/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1) правоустанавливающие и (или) правоудостоверяющие документы на объект (объекты) адресации </w:t>
            </w:r>
            <w:r>
              <w:rPr>
                <w:rFonts w:cs="PT Astra Serif" w:ascii="Arial" w:hAnsi="Arial"/>
                <w:sz w:val="20"/>
                <w:szCs w:val="20"/>
                <w:shd w:fill="FFFFFF" w:val="clear"/>
              </w:rPr>
              <w:t>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РФ для строительства  которых получение разрешения на строительство не требуется, правоустанавливающие и (или) правоудостоверяющие  документы на земельный участок, на котором расположены указанное здание (строение), сооружение),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права на которые зарегистрированы в Едином государственном реестре недвижимости;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2) разрешение на строительство объекта адресации (при присвоении адреса строящимся объектам адресации) </w:t>
            </w:r>
            <w:r>
              <w:rPr>
                <w:rFonts w:cs="PT Astra Serif" w:ascii="Arial" w:hAnsi="Arial"/>
                <w:sz w:val="20"/>
                <w:szCs w:val="20"/>
                <w:shd w:fill="FFFFFF" w:val="clear"/>
              </w:rPr>
              <w:t>(за исключением случаев, если в соответствии с ГрадК РФ для строительства или реконструкции здания (строения), сооружения получение разрешения на строительство не требуется)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и (или) при наличии разрешения на ввод объекта адресации в эксплуатацию;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>
            <w:pPr>
              <w:pStyle w:val="Normal"/>
              <w:widowControl w:val="false"/>
              <w:spacing w:lineRule="auto" w:line="240" w:before="57" w:after="57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>4</w:t>
            </w:r>
            <w:r>
              <w:rPr>
                <w:rFonts w:cs="PT Astra Serif" w:ascii="Arial" w:hAnsi="Arial"/>
                <w:sz w:val="20"/>
                <w:szCs w:val="20"/>
              </w:rPr>
              <w:t>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      </w:r>
          </w:p>
        </w:tc>
      </w:tr>
      <w:tr>
        <w:trPr/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Выдается в МФЦ!!!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Выдача (направление) заявителю постановления Администрации города Кургана о присвоении или аннулировании объекту адресации адреса;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Решения об отказе в присвоении или аннулировании объекту адресации адреса.</w:t>
            </w:r>
          </w:p>
        </w:tc>
      </w:tr>
      <w:tr>
        <w:trPr>
          <w:trHeight w:val="1158" w:hRule="atLeast"/>
        </w:trPr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  <w:r>
              <w:rPr>
                <w:rFonts w:ascii="Arial" w:hAnsi="Arial"/>
                <w:sz w:val="20"/>
                <w:szCs w:val="20"/>
              </w:rPr>
              <w:t>0</w:t>
            </w:r>
            <w:r>
              <w:rPr>
                <w:rFonts w:ascii="Arial" w:hAnsi="Arial"/>
                <w:sz w:val="20"/>
                <w:szCs w:val="20"/>
              </w:rPr>
              <w:t xml:space="preserve"> рабочих дней со дня поступления заявления;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 случае предоставления заявителем документов через МФЦ срок предоставления муниципальной услуги исчисляется со дня передачи МФЦ таких документов в Департамент.</w:t>
            </w:r>
          </w:p>
        </w:tc>
      </w:tr>
      <w:tr>
        <w:trPr/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1"/>
                <w:szCs w:val="21"/>
                <w:lang w:eastAsia="ru-RU"/>
              </w:rPr>
              <w:t>Основания для отказа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Отсутствуют.</w:t>
            </w:r>
          </w:p>
        </w:tc>
      </w:tr>
      <w:tr>
        <w:trPr/>
        <w:tc>
          <w:tcPr>
            <w:tcW w:w="3125" w:type="dxa"/>
            <w:tcBorders/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auto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309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Муниципальная услуга предоставляется на бесплатной основе.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284" w:header="0" w:top="567" w:footer="0" w:bottom="42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706512"/>
    <w:rPr>
      <w:rFonts w:ascii="Tahoma" w:hAnsi="Tahoma" w:cs="Tahoma"/>
      <w:sz w:val="16"/>
      <w:szCs w:val="16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0651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en-US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upload/iblock/589/&#1056;&#1045;&#1043;&#1051;&#1040;&#1052;&#1045;&#1053;&#1058; &#1040;&#1076;&#1088;&#1077;&#1089;&#1072;&#1094;&#1080;&#1103;.doc" TargetMode="External"/><Relationship Id="rId3" Type="http://schemas.openxmlformats.org/officeDocument/2006/relationships/hyperlink" Target="https://kurgan-city.ru/gosserv/for/489/vedomstva/4662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Application>LibreOffice/7.0.4.2$Windows_X86_64 LibreOffice_project/dcf040e67528d9187c66b2379df5ea4407429775</Application>
  <AppVersion>15.0000</AppVersion>
  <Pages>3</Pages>
  <Words>1159</Words>
  <Characters>8268</Characters>
  <CharactersWithSpaces>9379</CharactersWithSpaces>
  <Paragraphs>53</Paragraphs>
  <Company>КонсультантПлюс Версия 4026.00.01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2026-06-30T10:43:00Z</dcterms:created>
  <dc:creator>Надежда Николаевна Плотникова</dc:creator>
  <dc:description/>
  <dc:language>ru-RU</dc:language>
  <cp:lastModifiedBy/>
  <dcterms:modified xsi:type="dcterms:W3CDTF">2026-06-30T11:07:03Z</dcterms:modified>
  <cp:revision>37</cp:revision>
  <dc:subject/>
  <dc:title>Постановление Администрации города Кургана от 28.07.2015 N 5715(ред. от 05.03.2026)"Об утверждении Административного регламента предоставления Департаментом архитектуры, строительства и земельных отношений Администрации города Кургана муниципальной услуги "Присвоение и аннулирование адресов в городе Кургане"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